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E4F48" w:rsidR="007E4F48" w:rsidP="00580440" w:rsidRDefault="006C2C39" w14:paraId="7CBDEECB" w14:textId="77777777" w14:noSpellErr="1">
      <w:pPr>
        <w:spacing w:after="0" w:line="240" w:lineRule="auto"/>
        <w:rPr>
          <w:rStyle w:val="A0"/>
          <w:i/>
          <w:sz w:val="36"/>
          <w:szCs w:val="36"/>
        </w:rPr>
      </w:pPr>
      <w:r w:rsidRPr="2D7ABE1E" w:rsidR="2D7ABE1E">
        <w:rPr>
          <w:rFonts w:ascii="Calibri" w:hAnsi="Calibri" w:eastAsia="Calibri" w:cs="Calibri"/>
          <w:b w:val="1"/>
          <w:bCs w:val="1"/>
          <w:sz w:val="36"/>
          <w:szCs w:val="36"/>
        </w:rPr>
        <w:t xml:space="preserve">FAQs and </w:t>
      </w:r>
      <w:r w:rsidRPr="2D7ABE1E" w:rsidR="2D7ABE1E">
        <w:rPr>
          <w:rFonts w:ascii="Calibri" w:hAnsi="Calibri" w:eastAsia="Calibri" w:cs="Calibri"/>
          <w:b w:val="1"/>
          <w:bCs w:val="1"/>
          <w:sz w:val="36"/>
          <w:szCs w:val="36"/>
        </w:rPr>
        <w:t>POINT/COUNTERPOINT</w:t>
      </w:r>
    </w:p>
    <w:p w:rsidR="00E956E9" w:rsidP="00580440" w:rsidRDefault="003737F4" w14:paraId="2A9F594D" w14:textId="77777777" w14:noSpellErr="1">
      <w:pPr>
        <w:pBdr>
          <w:bottom w:val="single" w:color="auto" w:sz="4" w:space="1"/>
        </w:pBdr>
        <w:spacing w:after="0" w:line="240" w:lineRule="auto"/>
        <w:rPr>
          <w:b/>
          <w:sz w:val="36"/>
          <w:szCs w:val="36"/>
        </w:rPr>
      </w:pPr>
      <w:r w:rsidRPr="2D7ABE1E" w:rsidR="2D7ABE1E">
        <w:rPr>
          <w:rFonts w:ascii="Calibri" w:hAnsi="Calibri" w:eastAsia="Calibri" w:cs="Calibri"/>
          <w:b w:val="1"/>
          <w:bCs w:val="1"/>
          <w:sz w:val="36"/>
          <w:szCs w:val="36"/>
        </w:rPr>
        <w:t>Patient C</w:t>
      </w:r>
      <w:r w:rsidRPr="2D7ABE1E" w:rsidR="2D7ABE1E">
        <w:rPr>
          <w:rFonts w:ascii="Calibri" w:hAnsi="Calibri" w:eastAsia="Calibri" w:cs="Calibri"/>
          <w:b w:val="1"/>
          <w:bCs w:val="1"/>
          <w:sz w:val="36"/>
          <w:szCs w:val="36"/>
        </w:rPr>
        <w:t>ost-</w:t>
      </w:r>
      <w:r w:rsidRPr="2D7ABE1E" w:rsidR="2D7ABE1E">
        <w:rPr>
          <w:rFonts w:ascii="Calibri" w:hAnsi="Calibri" w:eastAsia="Calibri" w:cs="Calibri"/>
          <w:b w:val="1"/>
          <w:bCs w:val="1"/>
          <w:sz w:val="36"/>
          <w:szCs w:val="36"/>
        </w:rPr>
        <w:t>S</w:t>
      </w:r>
      <w:r w:rsidRPr="2D7ABE1E" w:rsidR="2D7ABE1E">
        <w:rPr>
          <w:rFonts w:ascii="Calibri" w:hAnsi="Calibri" w:eastAsia="Calibri" w:cs="Calibri"/>
          <w:b w:val="1"/>
          <w:bCs w:val="1"/>
          <w:sz w:val="36"/>
          <w:szCs w:val="36"/>
        </w:rPr>
        <w:t xml:space="preserve">haring for </w:t>
      </w:r>
      <w:r w:rsidRPr="2D7ABE1E" w:rsidR="2D7ABE1E">
        <w:rPr>
          <w:rFonts w:ascii="Calibri" w:hAnsi="Calibri" w:eastAsia="Calibri" w:cs="Calibri"/>
          <w:b w:val="1"/>
          <w:bCs w:val="1"/>
          <w:sz w:val="36"/>
          <w:szCs w:val="36"/>
        </w:rPr>
        <w:t>O</w:t>
      </w:r>
      <w:r w:rsidRPr="2D7ABE1E" w:rsidR="2D7ABE1E">
        <w:rPr>
          <w:rFonts w:ascii="Calibri" w:hAnsi="Calibri" w:eastAsia="Calibri" w:cs="Calibri"/>
          <w:b w:val="1"/>
          <w:bCs w:val="1"/>
          <w:sz w:val="36"/>
          <w:szCs w:val="36"/>
        </w:rPr>
        <w:t xml:space="preserve">ral </w:t>
      </w:r>
      <w:r w:rsidRPr="2D7ABE1E" w:rsidR="2D7ABE1E">
        <w:rPr>
          <w:rFonts w:ascii="Calibri" w:hAnsi="Calibri" w:eastAsia="Calibri" w:cs="Calibri"/>
          <w:b w:val="1"/>
          <w:bCs w:val="1"/>
          <w:sz w:val="36"/>
          <w:szCs w:val="36"/>
        </w:rPr>
        <w:t>A</w:t>
      </w:r>
      <w:r w:rsidRPr="2D7ABE1E" w:rsidR="2D7ABE1E">
        <w:rPr>
          <w:rFonts w:ascii="Calibri" w:hAnsi="Calibri" w:eastAsia="Calibri" w:cs="Calibri"/>
          <w:b w:val="1"/>
          <w:bCs w:val="1"/>
          <w:sz w:val="36"/>
          <w:szCs w:val="36"/>
        </w:rPr>
        <w:t xml:space="preserve">nticancer </w:t>
      </w:r>
      <w:r w:rsidRPr="2D7ABE1E" w:rsidR="2D7ABE1E">
        <w:rPr>
          <w:rFonts w:ascii="Calibri" w:hAnsi="Calibri" w:eastAsia="Calibri" w:cs="Calibri"/>
          <w:b w:val="1"/>
          <w:bCs w:val="1"/>
          <w:sz w:val="36"/>
          <w:szCs w:val="36"/>
        </w:rPr>
        <w:t>T</w:t>
      </w:r>
      <w:r w:rsidRPr="2D7ABE1E" w:rsidR="2D7ABE1E">
        <w:rPr>
          <w:rFonts w:ascii="Calibri" w:hAnsi="Calibri" w:eastAsia="Calibri" w:cs="Calibri"/>
          <w:b w:val="1"/>
          <w:bCs w:val="1"/>
          <w:sz w:val="36"/>
          <w:szCs w:val="36"/>
        </w:rPr>
        <w:t>reatments</w:t>
      </w:r>
    </w:p>
    <w:p w:rsidR="007E4F48" w:rsidP="00580440" w:rsidRDefault="007E4F48" w14:paraId="72985B87" w14:textId="77777777">
      <w:pPr>
        <w:pStyle w:val="Pa8"/>
        <w:spacing w:line="240" w:lineRule="auto"/>
        <w:rPr>
          <w:rStyle w:val="A0"/>
          <w:rFonts w:asciiTheme="minorHAnsi" w:hAnsiTheme="minorHAnsi"/>
          <w:b/>
        </w:rPr>
      </w:pPr>
    </w:p>
    <w:p w:rsidR="00D90408" w:rsidP="00D90408" w:rsidRDefault="003737F4" w14:paraId="753B7857" w14:textId="77777777" w14:noSpellErr="1">
      <w:pPr>
        <w:pStyle w:val="PlainText"/>
        <w:rPr>
          <w:rFonts w:asciiTheme="minorHAnsi" w:hAnsiTheme="minorHAnsi"/>
          <w:b/>
          <w:sz w:val="24"/>
          <w:szCs w:val="24"/>
        </w:rPr>
      </w:pPr>
      <w:r w:rsidRPr="2D7ABE1E" w:rsidR="2D7ABE1E">
        <w:rPr>
          <w:rFonts w:ascii="Calibri" w:hAnsi="Calibri" w:eastAsia="Calibri" w:cs="Calibri"/>
          <w:b w:val="1"/>
          <w:bCs w:val="1"/>
          <w:sz w:val="24"/>
          <w:szCs w:val="24"/>
        </w:rPr>
        <w:t>“What exactly does ‘no less favorable’</w:t>
      </w:r>
      <w:r w:rsidRPr="2D7ABE1E" w:rsidR="2D7ABE1E">
        <w:rPr>
          <w:rFonts w:ascii="Calibri" w:hAnsi="Calibri" w:eastAsia="Calibri" w:cs="Calibri"/>
          <w:b w:val="1"/>
          <w:bCs w:val="1"/>
          <w:sz w:val="24"/>
          <w:szCs w:val="24"/>
        </w:rPr>
        <w:t xml:space="preserve"> mean? </w:t>
      </w:r>
      <w:r w:rsidRPr="2D7ABE1E" w:rsidR="2D7ABE1E">
        <w:rPr>
          <w:rFonts w:ascii="Calibri" w:hAnsi="Calibri" w:eastAsia="Calibri" w:cs="Calibri"/>
          <w:b w:val="1"/>
          <w:bCs w:val="1"/>
          <w:sz w:val="24"/>
          <w:szCs w:val="24"/>
        </w:rPr>
        <w:t>How would this be implemented?”</w:t>
      </w:r>
    </w:p>
    <w:p w:rsidRPr="00E956E9" w:rsidR="00D90408" w:rsidP="00D90408" w:rsidRDefault="00D90408" w14:paraId="4BE4B2F7" w14:textId="77777777">
      <w:pPr>
        <w:pStyle w:val="PlainText"/>
        <w:rPr>
          <w:rFonts w:asciiTheme="minorHAnsi" w:hAnsiTheme="minorHAnsi"/>
          <w:b/>
          <w:sz w:val="24"/>
          <w:szCs w:val="24"/>
        </w:rPr>
      </w:pPr>
    </w:p>
    <w:p w:rsidR="00D90408" w:rsidP="2D7ABE1E" w:rsidRDefault="00D90408" w14:paraId="5C1502D1" w14:textId="77777777" w14:noSpellErr="1">
      <w:pPr>
        <w:pStyle w:val="NoSpacing"/>
        <w:numPr>
          <w:ilvl w:val="1"/>
          <w:numId w:val="15"/>
        </w:numPr>
        <w:ind w:left="360"/>
        <w:rPr>
          <w:rFonts w:ascii="Calibri,Arial" w:hAnsi="Calibri,Arial" w:eastAsia="Calibri,Arial" w:cs="Calibri,Arial" w:asciiTheme="minorAscii" w:hAnsiTheme="minorAscii" w:eastAsiaTheme="minorAscii" w:cstheme="minorAscii"/>
          <w:sz w:val="24"/>
          <w:szCs w:val="24"/>
        </w:rPr>
      </w:pPr>
      <w:r w:rsidRPr="2D7ABE1E" w:rsidR="2D7ABE1E">
        <w:rPr>
          <w:rFonts w:ascii="Calibri" w:hAnsi="Calibri" w:eastAsia="Calibri" w:cs="Calibri"/>
          <w:sz w:val="24"/>
          <w:szCs w:val="24"/>
        </w:rPr>
        <w:t>This means that when a patient</w:t>
      </w:r>
      <w:r w:rsidRPr="2D7ABE1E" w:rsidR="2D7ABE1E">
        <w:rPr>
          <w:rFonts w:ascii="Calibri" w:hAnsi="Calibri" w:eastAsia="Calibri" w:cs="Calibri"/>
          <w:sz w:val="24"/>
          <w:szCs w:val="24"/>
        </w:rPr>
        <w:t xml:space="preserve"> fill</w:t>
      </w:r>
      <w:r w:rsidRPr="2D7ABE1E" w:rsidR="2D7ABE1E">
        <w:rPr>
          <w:rFonts w:ascii="Calibri" w:hAnsi="Calibri" w:eastAsia="Calibri" w:cs="Calibri"/>
          <w:sz w:val="24"/>
          <w:szCs w:val="24"/>
        </w:rPr>
        <w:t>s</w:t>
      </w:r>
      <w:r w:rsidRPr="2D7ABE1E" w:rsidR="2D7ABE1E">
        <w:rPr>
          <w:rFonts w:ascii="Calibri" w:hAnsi="Calibri" w:eastAsia="Calibri" w:cs="Calibri"/>
          <w:sz w:val="24"/>
          <w:szCs w:val="24"/>
        </w:rPr>
        <w:t xml:space="preserve"> a script for an oral medic</w:t>
      </w:r>
      <w:r w:rsidRPr="2D7ABE1E" w:rsidR="2D7ABE1E">
        <w:rPr>
          <w:rFonts w:ascii="Calibri" w:hAnsi="Calibri" w:eastAsia="Calibri" w:cs="Calibri"/>
          <w:sz w:val="24"/>
          <w:szCs w:val="24"/>
        </w:rPr>
        <w:t xml:space="preserve">ation, the required cost-share – that is, the amount of money the patient pays out-of-pocket – will </w:t>
      </w:r>
      <w:r w:rsidRPr="2D7ABE1E" w:rsidR="2D7ABE1E">
        <w:rPr>
          <w:rFonts w:ascii="Calibri" w:hAnsi="Calibri" w:eastAsia="Calibri" w:cs="Calibri"/>
          <w:sz w:val="24"/>
          <w:szCs w:val="24"/>
        </w:rPr>
        <w:t xml:space="preserve">be no higher than the cost-share required for a drug administered by IV or some other format. </w:t>
      </w:r>
    </w:p>
    <w:p w:rsidR="00BE7C93" w:rsidP="2D7ABE1E" w:rsidRDefault="00BE7C93" w14:paraId="5A69C7E5" w14:textId="77777777" w14:noSpellErr="1">
      <w:pPr>
        <w:pStyle w:val="NoSpacing"/>
        <w:numPr>
          <w:ilvl w:val="1"/>
          <w:numId w:val="15"/>
        </w:numPr>
        <w:ind w:left="360"/>
        <w:rPr>
          <w:rFonts w:ascii="Calibri,Arial" w:hAnsi="Calibri,Arial" w:eastAsia="Calibri,Arial" w:cs="Calibri,Arial" w:asciiTheme="minorAscii" w:hAnsiTheme="minorAscii" w:eastAsiaTheme="minorAscii" w:cstheme="minorAscii"/>
          <w:sz w:val="24"/>
          <w:szCs w:val="24"/>
        </w:rPr>
      </w:pPr>
      <w:r w:rsidRPr="2D7ABE1E" w:rsidR="2D7ABE1E">
        <w:rPr>
          <w:rFonts w:ascii="Calibri" w:hAnsi="Calibri" w:eastAsia="Calibri" w:cs="Calibri"/>
          <w:sz w:val="24"/>
          <w:szCs w:val="24"/>
        </w:rPr>
        <w:t>“No less favorable” does not obligate insurers to a</w:t>
      </w:r>
      <w:r w:rsidRPr="2D7ABE1E" w:rsidR="2D7ABE1E">
        <w:rPr>
          <w:rFonts w:ascii="Calibri" w:hAnsi="Calibri" w:eastAsia="Calibri" w:cs="Calibri"/>
          <w:sz w:val="24"/>
          <w:szCs w:val="24"/>
        </w:rPr>
        <w:t>pply the same exact cost-share</w:t>
      </w:r>
      <w:r w:rsidRPr="2D7ABE1E" w:rsidR="2D7ABE1E">
        <w:rPr>
          <w:rFonts w:ascii="Calibri" w:hAnsi="Calibri" w:eastAsia="Calibri" w:cs="Calibri"/>
          <w:sz w:val="24"/>
          <w:szCs w:val="24"/>
        </w:rPr>
        <w:t xml:space="preserve"> to all cancer treatment medications. A health plan would be in compliance as long as the patient’s </w:t>
      </w:r>
      <w:r w:rsidRPr="2D7ABE1E" w:rsidR="2D7ABE1E">
        <w:rPr>
          <w:rFonts w:ascii="Calibri" w:hAnsi="Calibri" w:eastAsia="Calibri" w:cs="Calibri"/>
          <w:sz w:val="24"/>
          <w:szCs w:val="24"/>
        </w:rPr>
        <w:t>cost-share</w:t>
      </w:r>
      <w:r w:rsidRPr="2D7ABE1E" w:rsidR="2D7ABE1E">
        <w:rPr>
          <w:rFonts w:ascii="Calibri" w:hAnsi="Calibri" w:eastAsia="Calibri" w:cs="Calibri"/>
          <w:sz w:val="24"/>
          <w:szCs w:val="24"/>
        </w:rPr>
        <w:t xml:space="preserve"> for an oral is the same or less than the </w:t>
      </w:r>
      <w:r w:rsidRPr="2D7ABE1E" w:rsidR="2D7ABE1E">
        <w:rPr>
          <w:rFonts w:ascii="Calibri" w:hAnsi="Calibri" w:eastAsia="Calibri" w:cs="Calibri"/>
          <w:sz w:val="24"/>
          <w:szCs w:val="24"/>
        </w:rPr>
        <w:t>cost-share</w:t>
      </w:r>
      <w:r w:rsidRPr="2D7ABE1E" w:rsidR="2D7ABE1E">
        <w:rPr>
          <w:rFonts w:ascii="Calibri" w:hAnsi="Calibri" w:eastAsia="Calibri" w:cs="Calibri"/>
          <w:sz w:val="24"/>
          <w:szCs w:val="24"/>
        </w:rPr>
        <w:t xml:space="preserve"> for an IV medication. </w:t>
      </w:r>
    </w:p>
    <w:p w:rsidRPr="00B71D62" w:rsidR="00D90408" w:rsidP="00B71D62" w:rsidRDefault="00C209D8" w14:paraId="24E246F8" w14:textId="77777777" w14:noSpellErr="1">
      <w:pPr>
        <w:pStyle w:val="ListParagraph"/>
        <w:numPr>
          <w:ilvl w:val="0"/>
          <w:numId w:val="15"/>
        </w:numPr>
        <w:spacing w:after="0" w:line="240" w:lineRule="auto"/>
        <w:contextualSpacing w:val="0"/>
        <w:rPr>
          <w:sz w:val="24"/>
          <w:szCs w:val="24"/>
        </w:rPr>
      </w:pPr>
      <w:r w:rsidRPr="2D7ABE1E" w:rsidR="2D7ABE1E">
        <w:rPr>
          <w:rFonts w:ascii="Calibri" w:hAnsi="Calibri" w:eastAsia="Calibri" w:cs="Calibri"/>
          <w:sz w:val="24"/>
          <w:szCs w:val="24"/>
        </w:rPr>
        <w:t>Sometimes</w:t>
      </w:r>
      <w:r w:rsidRPr="2D7ABE1E" w:rsidR="2D7ABE1E">
        <w:rPr>
          <w:rFonts w:ascii="Calibri" w:hAnsi="Calibri" w:eastAsia="Calibri" w:cs="Calibri"/>
          <w:sz w:val="24"/>
          <w:szCs w:val="24"/>
        </w:rPr>
        <w:t xml:space="preserve"> referred to as “oral chemo parity,” this solution is intended to prevent health plans from forcing a subset of cancer patients to shoulder a disproportionate share of the </w:t>
      </w:r>
      <w:r w:rsidRPr="2D7ABE1E" w:rsidR="2D7ABE1E">
        <w:rPr>
          <w:rFonts w:ascii="Calibri" w:hAnsi="Calibri" w:eastAsia="Calibri" w:cs="Calibri"/>
          <w:sz w:val="24"/>
          <w:szCs w:val="24"/>
        </w:rPr>
        <w:t xml:space="preserve">cost of their treatment. </w:t>
      </w:r>
    </w:p>
    <w:p w:rsidR="00B71D62" w:rsidP="00B71D62" w:rsidRDefault="00B71D62" w14:paraId="01E12DD5" w14:textId="77777777">
      <w:pPr>
        <w:spacing w:after="0" w:line="240" w:lineRule="auto"/>
        <w:rPr>
          <w:sz w:val="24"/>
          <w:szCs w:val="24"/>
        </w:rPr>
      </w:pPr>
    </w:p>
    <w:p w:rsidRPr="00B71D62" w:rsidR="00B71D62" w:rsidP="00B71D62" w:rsidRDefault="003737F4" w14:paraId="16C7BD1A" w14:textId="77777777" w14:noSpellErr="1">
      <w:pPr>
        <w:spacing w:after="0" w:line="240" w:lineRule="auto"/>
        <w:rPr>
          <w:b/>
          <w:sz w:val="24"/>
          <w:szCs w:val="24"/>
        </w:rPr>
      </w:pPr>
      <w:r w:rsidRPr="2D7ABE1E" w:rsidR="2D7ABE1E">
        <w:rPr>
          <w:rFonts w:ascii="Calibri" w:hAnsi="Calibri" w:eastAsia="Calibri" w:cs="Calibri"/>
          <w:b w:val="1"/>
          <w:bCs w:val="1"/>
          <w:sz w:val="24"/>
          <w:szCs w:val="24"/>
        </w:rPr>
        <w:t>“</w:t>
      </w:r>
      <w:r w:rsidRPr="2D7ABE1E" w:rsidR="2D7ABE1E">
        <w:rPr>
          <w:rFonts w:ascii="Calibri" w:hAnsi="Calibri" w:eastAsia="Calibri" w:cs="Calibri"/>
          <w:b w:val="1"/>
          <w:bCs w:val="1"/>
          <w:sz w:val="24"/>
          <w:szCs w:val="24"/>
        </w:rPr>
        <w:t xml:space="preserve">Couldn’t this result in an increase in cost-sharing for an IV treatment, or in orals being shifted to </w:t>
      </w:r>
      <w:r w:rsidRPr="2D7ABE1E" w:rsidR="2D7ABE1E">
        <w:rPr>
          <w:rFonts w:ascii="Calibri" w:hAnsi="Calibri" w:eastAsia="Calibri" w:cs="Calibri"/>
          <w:b w:val="1"/>
          <w:bCs w:val="1"/>
          <w:sz w:val="24"/>
          <w:szCs w:val="24"/>
        </w:rPr>
        <w:t xml:space="preserve">the </w:t>
      </w:r>
      <w:r w:rsidRPr="2D7ABE1E" w:rsidR="2D7ABE1E">
        <w:rPr>
          <w:rFonts w:ascii="Calibri" w:hAnsi="Calibri" w:eastAsia="Calibri" w:cs="Calibri"/>
          <w:b w:val="1"/>
          <w:bCs w:val="1"/>
          <w:sz w:val="24"/>
          <w:szCs w:val="24"/>
        </w:rPr>
        <w:t xml:space="preserve">medical benefit where high </w:t>
      </w:r>
      <w:r w:rsidRPr="2D7ABE1E" w:rsidR="2D7ABE1E">
        <w:rPr>
          <w:rFonts w:ascii="Calibri" w:hAnsi="Calibri" w:eastAsia="Calibri" w:cs="Calibri"/>
          <w:b w:val="1"/>
          <w:bCs w:val="1"/>
          <w:sz w:val="24"/>
          <w:szCs w:val="24"/>
        </w:rPr>
        <w:t xml:space="preserve">deductibles must be satisfied?” </w:t>
      </w:r>
    </w:p>
    <w:p w:rsidR="00B71D62" w:rsidP="00B71D62" w:rsidRDefault="00B71D62" w14:paraId="08AF2444" w14:textId="77777777">
      <w:pPr>
        <w:pStyle w:val="ListParagraph"/>
        <w:spacing w:after="0" w:line="240" w:lineRule="auto"/>
        <w:ind w:left="360"/>
        <w:contextualSpacing w:val="0"/>
        <w:rPr>
          <w:sz w:val="24"/>
          <w:szCs w:val="24"/>
        </w:rPr>
      </w:pPr>
    </w:p>
    <w:p w:rsidRPr="00B71D62" w:rsidR="00B71D62" w:rsidP="00B71D62" w:rsidRDefault="00B71D62" w14:paraId="36C227F8" w14:textId="77777777" w14:noSpellErr="1">
      <w:pPr>
        <w:pStyle w:val="ListParagraph"/>
        <w:numPr>
          <w:ilvl w:val="0"/>
          <w:numId w:val="15"/>
        </w:numPr>
        <w:spacing w:after="0" w:line="240" w:lineRule="auto"/>
        <w:contextualSpacing w:val="0"/>
        <w:rPr>
          <w:sz w:val="24"/>
          <w:szCs w:val="24"/>
        </w:rPr>
      </w:pPr>
      <w:r w:rsidRPr="2D7ABE1E" w:rsidR="2D7ABE1E">
        <w:rPr>
          <w:rFonts w:ascii="Calibri" w:hAnsi="Calibri" w:eastAsia="Calibri" w:cs="Calibri"/>
          <w:sz w:val="24"/>
          <w:szCs w:val="24"/>
        </w:rPr>
        <w:t>To protect against this, the bill includes language stating that</w:t>
      </w:r>
      <w:r w:rsidRPr="2D7ABE1E" w:rsidR="2D7ABE1E">
        <w:rPr>
          <w:rFonts w:ascii="Calibri" w:hAnsi="Calibri" w:eastAsia="Calibri" w:cs="Calibri"/>
          <w:sz w:val="24"/>
          <w:szCs w:val="24"/>
        </w:rPr>
        <w:t xml:space="preserve"> </w:t>
      </w:r>
      <w:r w:rsidRPr="2D7ABE1E" w:rsidR="2D7ABE1E">
        <w:rPr>
          <w:rFonts w:ascii="Calibri" w:hAnsi="Calibri" w:eastAsia="Calibri" w:cs="Calibri"/>
          <w:sz w:val="24"/>
          <w:szCs w:val="24"/>
        </w:rPr>
        <w:t>payers cannot achieve compliance with the law by increasing the</w:t>
      </w:r>
      <w:r w:rsidRPr="2D7ABE1E" w:rsidR="2D7ABE1E">
        <w:rPr>
          <w:rFonts w:ascii="Calibri" w:hAnsi="Calibri" w:eastAsia="Calibri" w:cs="Calibri"/>
          <w:sz w:val="24"/>
          <w:szCs w:val="24"/>
        </w:rPr>
        <w:t xml:space="preserve"> patient</w:t>
      </w:r>
      <w:r w:rsidRPr="2D7ABE1E" w:rsidR="2D7ABE1E">
        <w:rPr>
          <w:rFonts w:ascii="Calibri" w:hAnsi="Calibri" w:eastAsia="Calibri" w:cs="Calibri"/>
          <w:sz w:val="24"/>
          <w:szCs w:val="24"/>
        </w:rPr>
        <w:t xml:space="preserve"> cost-share</w:t>
      </w:r>
      <w:r w:rsidRPr="2D7ABE1E" w:rsidR="2D7ABE1E">
        <w:rPr>
          <w:rFonts w:ascii="Calibri" w:hAnsi="Calibri" w:eastAsia="Calibri" w:cs="Calibri"/>
          <w:sz w:val="24"/>
          <w:szCs w:val="24"/>
        </w:rPr>
        <w:t xml:space="preserve"> for </w:t>
      </w:r>
      <w:r w:rsidRPr="2D7ABE1E" w:rsidR="2D7ABE1E">
        <w:rPr>
          <w:rFonts w:ascii="Calibri" w:hAnsi="Calibri" w:eastAsia="Calibri" w:cs="Calibri"/>
          <w:sz w:val="24"/>
          <w:szCs w:val="24"/>
        </w:rPr>
        <w:t>any anticancer medication</w:t>
      </w:r>
      <w:r w:rsidRPr="2D7ABE1E" w:rsidR="2D7ABE1E">
        <w:rPr>
          <w:rFonts w:ascii="Calibri" w:hAnsi="Calibri" w:eastAsia="Calibri" w:cs="Calibri"/>
          <w:sz w:val="24"/>
          <w:szCs w:val="24"/>
        </w:rPr>
        <w:t xml:space="preserve"> </w:t>
      </w:r>
      <w:r w:rsidRPr="2D7ABE1E" w:rsidR="2D7ABE1E">
        <w:rPr>
          <w:rFonts w:ascii="Calibri" w:hAnsi="Calibri" w:eastAsia="Calibri" w:cs="Calibri"/>
          <w:sz w:val="24"/>
          <w:szCs w:val="24"/>
        </w:rPr>
        <w:t>already covered by the plan</w:t>
      </w:r>
      <w:r w:rsidRPr="2D7ABE1E" w:rsidR="2D7ABE1E">
        <w:rPr>
          <w:rFonts w:ascii="Calibri" w:hAnsi="Calibri" w:eastAsia="Calibri" w:cs="Calibri"/>
          <w:sz w:val="24"/>
          <w:szCs w:val="24"/>
        </w:rPr>
        <w:t xml:space="preserve">.  </w:t>
      </w:r>
    </w:p>
    <w:p w:rsidRPr="00B71D62" w:rsidR="00B71D62" w:rsidP="00B71D62" w:rsidRDefault="00B71D62" w14:paraId="58F06DC3" w14:textId="77777777">
      <w:pPr>
        <w:spacing w:after="0" w:line="240" w:lineRule="auto"/>
        <w:rPr>
          <w:sz w:val="24"/>
          <w:szCs w:val="24"/>
        </w:rPr>
      </w:pPr>
    </w:p>
    <w:p w:rsidRPr="00B71D62" w:rsidR="00D258A0" w:rsidP="00B71D62" w:rsidRDefault="003737F4" w14:paraId="270606E2" w14:noSpellErr="1" w14:textId="69132C20">
      <w:pPr>
        <w:pStyle w:val="Pa8"/>
        <w:spacing w:line="240" w:lineRule="auto"/>
        <w:rPr>
          <w:rStyle w:val="A0"/>
          <w:rFonts w:asciiTheme="minorHAnsi" w:hAnsiTheme="minorHAnsi"/>
          <w:b/>
        </w:rPr>
      </w:pPr>
      <w:r w:rsidRPr="2D7ABE1E" w:rsidR="2D7ABE1E">
        <w:rPr>
          <w:rStyle w:val="A0"/>
          <w:rFonts w:ascii="Calibri" w:hAnsi="Calibri" w:eastAsia="Calibri" w:cs="Calibri"/>
          <w:b w:val="1"/>
          <w:bCs w:val="1"/>
        </w:rPr>
        <w:t>“</w:t>
      </w:r>
      <w:r w:rsidRPr="2D7ABE1E" w:rsidR="2D7ABE1E">
        <w:rPr>
          <w:rStyle w:val="A0"/>
          <w:rFonts w:ascii="Calibri" w:hAnsi="Calibri" w:eastAsia="Calibri" w:cs="Calibri"/>
          <w:b w:val="1"/>
          <w:bCs w:val="1"/>
        </w:rPr>
        <w:t>As an alternative to parity,</w:t>
      </w:r>
      <w:r w:rsidRPr="2D7ABE1E" w:rsidR="2D7ABE1E">
        <w:rPr>
          <w:rStyle w:val="A0"/>
          <w:rFonts w:ascii="Calibri" w:hAnsi="Calibri" w:eastAsia="Calibri" w:cs="Calibri"/>
          <w:b w:val="1"/>
          <w:bCs w:val="1"/>
        </w:rPr>
        <w:t xml:space="preserve"> </w:t>
      </w:r>
      <w:r w:rsidRPr="2D7ABE1E" w:rsidR="2D7ABE1E">
        <w:rPr>
          <w:rStyle w:val="A0"/>
          <w:rFonts w:ascii="Calibri" w:hAnsi="Calibri" w:eastAsia="Calibri" w:cs="Calibri"/>
          <w:b w:val="1"/>
          <w:bCs w:val="1"/>
        </w:rPr>
        <w:t xml:space="preserve">some </w:t>
      </w:r>
      <w:r w:rsidRPr="2D7ABE1E" w:rsidR="2D7ABE1E">
        <w:rPr>
          <w:rStyle w:val="A0"/>
          <w:rFonts w:ascii="Calibri" w:hAnsi="Calibri" w:eastAsia="Calibri" w:cs="Calibri"/>
          <w:b w:val="1"/>
          <w:bCs w:val="1"/>
        </w:rPr>
        <w:t>states have impos</w:t>
      </w:r>
      <w:r w:rsidRPr="2D7ABE1E" w:rsidR="2D7ABE1E">
        <w:rPr>
          <w:rStyle w:val="A0"/>
          <w:rFonts w:ascii="Calibri" w:hAnsi="Calibri" w:eastAsia="Calibri" w:cs="Calibri"/>
          <w:b w:val="1"/>
          <w:bCs w:val="1"/>
        </w:rPr>
        <w:t>ed caps. What states are these?”</w:t>
      </w:r>
    </w:p>
    <w:p w:rsidR="004B1761" w:rsidP="00580440" w:rsidRDefault="004B1761" w14:paraId="42119D36" w14:textId="77777777">
      <w:pPr>
        <w:pStyle w:val="Pa8"/>
        <w:spacing w:line="240" w:lineRule="auto"/>
        <w:rPr>
          <w:rStyle w:val="A0"/>
          <w:rFonts w:asciiTheme="minorHAnsi" w:hAnsiTheme="minorHAnsi"/>
          <w:b/>
        </w:rPr>
      </w:pPr>
    </w:p>
    <w:p w:rsidRPr="004B1761" w:rsidR="004B1761" w:rsidP="004B1761" w:rsidRDefault="00003AF3" w14:paraId="5205E02C" w14:textId="77777777" w14:noSpellErr="1">
      <w:pPr>
        <w:pStyle w:val="ListParagraph"/>
        <w:numPr>
          <w:ilvl w:val="0"/>
          <w:numId w:val="22"/>
        </w:numPr>
        <w:spacing w:after="0" w:line="240" w:lineRule="auto"/>
        <w:contextualSpacing w:val="0"/>
        <w:rPr>
          <w:color w:val="000000"/>
          <w:sz w:val="24"/>
          <w:szCs w:val="24"/>
        </w:rPr>
      </w:pPr>
      <w:r w:rsidRPr="2D7ABE1E">
        <w:rPr>
          <w:rFonts w:ascii="Calibri" w:hAnsi="Calibri" w:eastAsia="Calibri" w:cs="Calibri"/>
          <w:color w:val="000000"/>
          <w:sz w:val="24"/>
          <w:szCs w:val="24"/>
        </w:rPr>
        <w:t>Studies show that prescription abandonment rates increase significantly when</w:t>
      </w:r>
      <w:r w:rsidRPr="2D7ABE1E" w:rsidR="004B1761">
        <w:rPr>
          <w:rFonts w:ascii="Calibri" w:hAnsi="Calibri" w:eastAsia="Calibri" w:cs="Calibri"/>
          <w:sz w:val="24"/>
          <w:szCs w:val="24"/>
        </w:rPr>
        <w:t xml:space="preserve"> </w:t>
      </w:r>
      <w:r w:rsidRPr="2D7ABE1E" w:rsidR="00031172">
        <w:rPr>
          <w:rFonts w:ascii="Calibri" w:hAnsi="Calibri" w:eastAsia="Calibri" w:cs="Calibri"/>
          <w:sz w:val="24"/>
          <w:szCs w:val="24"/>
        </w:rPr>
        <w:t xml:space="preserve">the </w:t>
      </w:r>
      <w:r w:rsidRPr="2D7ABE1E">
        <w:rPr>
          <w:rFonts w:ascii="Calibri" w:hAnsi="Calibri" w:eastAsia="Calibri" w:cs="Calibri"/>
          <w:color w:val="000000"/>
          <w:sz w:val="24"/>
          <w:szCs w:val="24"/>
        </w:rPr>
        <w:t>patient</w:t>
      </w:r>
      <w:r w:rsidRPr="2D7ABE1E" w:rsidR="00031172">
        <w:rPr>
          <w:rFonts w:ascii="Calibri" w:hAnsi="Calibri" w:eastAsia="Calibri" w:cs="Calibri"/>
          <w:color w:val="000000"/>
          <w:sz w:val="24"/>
          <w:szCs w:val="24"/>
        </w:rPr>
        <w:t xml:space="preserve"> cost-share</w:t>
      </w:r>
      <w:r w:rsidRPr="2D7ABE1E">
        <w:rPr>
          <w:rFonts w:ascii="Calibri" w:hAnsi="Calibri" w:eastAsia="Calibri" w:cs="Calibri"/>
          <w:color w:val="000000"/>
          <w:sz w:val="24"/>
          <w:szCs w:val="24"/>
        </w:rPr>
        <w:t xml:space="preserve"> exceeds</w:t>
      </w:r>
      <w:r w:rsidRPr="2D7ABE1E" w:rsidR="004B1761">
        <w:rPr>
          <w:rFonts w:ascii="Calibri" w:hAnsi="Calibri" w:eastAsia="Calibri" w:cs="Calibri"/>
          <w:color w:val="000000"/>
          <w:sz w:val="24"/>
          <w:szCs w:val="24"/>
        </w:rPr>
        <w:t xml:space="preserve"> </w:t>
      </w:r>
      <w:r w:rsidRPr="2D7ABE1E">
        <w:rPr>
          <w:rFonts w:ascii="Calibri" w:hAnsi="Calibri" w:eastAsia="Calibri" w:cs="Calibri"/>
          <w:color w:val="000000"/>
          <w:sz w:val="24"/>
          <w:szCs w:val="24"/>
        </w:rPr>
        <w:t>$1</w:t>
      </w:r>
      <w:r w:rsidRPr="2D7ABE1E" w:rsidR="004B1761">
        <w:rPr>
          <w:rFonts w:ascii="Calibri" w:hAnsi="Calibri" w:eastAsia="Calibri" w:cs="Calibri"/>
          <w:color w:val="000000"/>
          <w:sz w:val="24"/>
          <w:szCs w:val="24"/>
        </w:rPr>
        <w:t>00</w:t>
      </w:r>
      <w:r w:rsidRPr="2D7ABE1E">
        <w:rPr>
          <w:rFonts w:ascii="Calibri" w:hAnsi="Calibri" w:eastAsia="Calibri" w:cs="Calibri"/>
          <w:color w:val="000000"/>
          <w:sz w:val="24"/>
          <w:szCs w:val="24"/>
        </w:rPr>
        <w:t>. According to one study,</w:t>
      </w:r>
      <w:r w:rsidRPr="2D7ABE1E" w:rsidR="004B1761">
        <w:rPr>
          <w:rFonts w:ascii="Calibri" w:hAnsi="Calibri" w:eastAsia="Calibri" w:cs="Calibri"/>
          <w:color w:val="000000"/>
          <w:sz w:val="24"/>
          <w:szCs w:val="24"/>
        </w:rPr>
        <w:t xml:space="preserve"> </w:t>
      </w:r>
      <w:r w:rsidRPr="2D7ABE1E">
        <w:rPr>
          <w:rFonts w:ascii="Calibri" w:hAnsi="Calibri" w:eastAsia="Calibri" w:cs="Calibri"/>
          <w:color w:val="000000"/>
          <w:sz w:val="24"/>
          <w:szCs w:val="24"/>
        </w:rPr>
        <w:t xml:space="preserve">patients facing a cost-share of $500 </w:t>
      </w:r>
      <w:r w:rsidRPr="2D7ABE1E" w:rsidR="004B1761">
        <w:rPr>
          <w:rFonts w:ascii="Calibri" w:hAnsi="Calibri" w:eastAsia="Calibri" w:cs="Calibri"/>
          <w:color w:val="000000"/>
          <w:sz w:val="24"/>
          <w:szCs w:val="24"/>
        </w:rPr>
        <w:t>were four times more likely to abandon their oral oncology products than those with cost-sharing under $100.</w:t>
      </w:r>
      <w:r w:rsidRPr="2D7ABE1E" w:rsidR="004B1761">
        <w:rPr>
          <w:rFonts w:ascii="Calibri" w:hAnsi="Calibri" w:eastAsia="Calibri" w:cs="Calibri"/>
          <w:color w:val="000000"/>
          <w:sz w:val="24"/>
          <w:szCs w:val="24"/>
          <w:vertAlign w:val="superscript"/>
        </w:rPr>
        <w:endnoteReference w:id="1"/>
      </w:r>
      <w:r w:rsidRPr="2D7ABE1E" w:rsidR="004B1761">
        <w:rPr>
          <w:rFonts w:ascii="Calibri" w:hAnsi="Calibri" w:eastAsia="Calibri" w:cs="Calibri"/>
          <w:color w:val="000000"/>
          <w:sz w:val="24"/>
          <w:szCs w:val="24"/>
        </w:rPr>
        <w:t xml:space="preserve"> </w:t>
      </w:r>
      <w:r w:rsidRPr="2D7ABE1E">
        <w:rPr>
          <w:rFonts w:ascii="Calibri" w:hAnsi="Calibri" w:eastAsia="Calibri" w:cs="Calibri"/>
          <w:color w:val="000000"/>
          <w:sz w:val="24"/>
          <w:szCs w:val="24"/>
        </w:rPr>
        <w:t>In light of this fact, patient and provider</w:t>
      </w:r>
      <w:bookmarkStart w:name="_GoBack" w:id="0"/>
      <w:bookmarkEnd w:id="0"/>
      <w:r w:rsidRPr="2D7ABE1E">
        <w:rPr>
          <w:rFonts w:ascii="Calibri" w:hAnsi="Calibri" w:eastAsia="Calibri" w:cs="Calibri"/>
          <w:color w:val="000000"/>
          <w:sz w:val="24"/>
          <w:szCs w:val="24"/>
        </w:rPr>
        <w:t xml:space="preserve"> groups have worked closely with policymakers to ensure that caps do not exceed $100.  </w:t>
      </w:r>
    </w:p>
    <w:p w:rsidR="00D258A0" w:rsidP="00D258A0" w:rsidRDefault="00D258A0" w14:paraId="0A490C19" w14:textId="77777777">
      <w:pPr>
        <w:pStyle w:val="Pa8"/>
        <w:spacing w:line="240" w:lineRule="auto"/>
        <w:rPr>
          <w:rStyle w:val="A0"/>
          <w:rFonts w:asciiTheme="minorHAnsi" w:hAnsiTheme="minorHAnsi"/>
        </w:rPr>
      </w:pPr>
    </w:p>
    <w:tbl>
      <w:tblPr>
        <w:tblStyle w:val="TableGrid"/>
        <w:tblW w:w="0" w:type="auto"/>
        <w:jc w:val="center"/>
        <w:tblLook w:val="04A0" w:firstRow="1" w:lastRow="0" w:firstColumn="1" w:lastColumn="0" w:noHBand="0" w:noVBand="1"/>
      </w:tblPr>
      <w:tblGrid>
        <w:gridCol w:w="1710"/>
        <w:gridCol w:w="990"/>
        <w:gridCol w:w="1260"/>
        <w:gridCol w:w="1845"/>
        <w:gridCol w:w="837"/>
        <w:gridCol w:w="1260"/>
      </w:tblGrid>
      <w:tr w:rsidR="00003AF3" w:rsidTr="2D7ABE1E" w14:paraId="3F7DF5CC" w14:textId="77777777">
        <w:trPr>
          <w:jc w:val="center"/>
        </w:trPr>
        <w:tc>
          <w:tcPr>
            <w:tcW w:w="1710" w:type="dxa"/>
            <w:shd w:val="clear" w:color="auto" w:fill="E7E6E6" w:themeFill="background2"/>
            <w:tcMar/>
          </w:tcPr>
          <w:p w:rsidR="00003AF3" w:rsidP="00D258A0" w:rsidRDefault="00003AF3" w14:paraId="3B52590A"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STATE</w:t>
            </w:r>
          </w:p>
        </w:tc>
        <w:tc>
          <w:tcPr>
            <w:tcW w:w="990" w:type="dxa"/>
            <w:shd w:val="clear" w:color="auto" w:fill="E7E6E6" w:themeFill="background2"/>
            <w:tcMar/>
          </w:tcPr>
          <w:p w:rsidR="00003AF3" w:rsidP="00D258A0" w:rsidRDefault="00003AF3" w14:paraId="0D002BA0"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YEAR</w:t>
            </w:r>
          </w:p>
        </w:tc>
        <w:tc>
          <w:tcPr>
            <w:tcW w:w="1260" w:type="dxa"/>
            <w:tcBorders>
              <w:right w:val="dashDotStroked" w:color="auto" w:sz="24" w:space="0"/>
            </w:tcBorders>
            <w:shd w:val="clear" w:color="auto" w:fill="E7E6E6" w:themeFill="background2"/>
            <w:tcMar/>
          </w:tcPr>
          <w:p w:rsidR="00003AF3" w:rsidP="00D258A0" w:rsidRDefault="00003AF3" w14:paraId="5042EFBD"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AMOUNT</w:t>
            </w:r>
          </w:p>
        </w:tc>
        <w:tc>
          <w:tcPr>
            <w:tcW w:w="1845" w:type="dxa"/>
            <w:tcBorders>
              <w:left w:val="dashDotStroked" w:color="auto" w:sz="24" w:space="0"/>
            </w:tcBorders>
            <w:shd w:val="clear" w:color="auto" w:fill="E7E6E6" w:themeFill="background2"/>
            <w:tcMar/>
          </w:tcPr>
          <w:p w:rsidR="00003AF3" w:rsidP="003737F4" w:rsidRDefault="00003AF3" w14:paraId="400E6D32"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STATE</w:t>
            </w:r>
          </w:p>
        </w:tc>
        <w:tc>
          <w:tcPr>
            <w:tcW w:w="837" w:type="dxa"/>
            <w:shd w:val="clear" w:color="auto" w:fill="E7E6E6" w:themeFill="background2"/>
            <w:tcMar/>
          </w:tcPr>
          <w:p w:rsidR="00003AF3" w:rsidP="003737F4" w:rsidRDefault="00003AF3" w14:paraId="785C6719"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YEAR</w:t>
            </w:r>
          </w:p>
        </w:tc>
        <w:tc>
          <w:tcPr>
            <w:tcW w:w="1260" w:type="dxa"/>
            <w:shd w:val="clear" w:color="auto" w:fill="E7E6E6" w:themeFill="background2"/>
            <w:tcMar/>
          </w:tcPr>
          <w:p w:rsidR="00003AF3" w:rsidP="003737F4" w:rsidRDefault="00003AF3" w14:paraId="62BC289F"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AMOUNT</w:t>
            </w:r>
          </w:p>
        </w:tc>
      </w:tr>
      <w:tr w:rsidR="00003AF3" w:rsidTr="2D7ABE1E" w14:paraId="5BA4EC01" w14:textId="77777777">
        <w:trPr>
          <w:jc w:val="center"/>
        </w:trPr>
        <w:tc>
          <w:tcPr>
            <w:tcW w:w="1710" w:type="dxa"/>
            <w:tcMar/>
          </w:tcPr>
          <w:p w:rsidR="00003AF3" w:rsidP="00D258A0" w:rsidRDefault="00003AF3" w14:paraId="40A31BF3"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 xml:space="preserve">California </w:t>
            </w:r>
          </w:p>
        </w:tc>
        <w:tc>
          <w:tcPr>
            <w:tcW w:w="990" w:type="dxa"/>
            <w:tcMar/>
          </w:tcPr>
          <w:p w:rsidR="00003AF3" w:rsidP="00D258A0" w:rsidRDefault="00003AF3" w14:paraId="24DA3020"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2013</w:t>
            </w:r>
          </w:p>
        </w:tc>
        <w:tc>
          <w:tcPr>
            <w:tcW w:w="1260" w:type="dxa"/>
            <w:tcBorders>
              <w:right w:val="dashDotStroked" w:color="auto" w:sz="24" w:space="0"/>
            </w:tcBorders>
            <w:tcMar/>
          </w:tcPr>
          <w:p w:rsidR="00003AF3" w:rsidP="00D258A0" w:rsidRDefault="00003AF3" w14:paraId="2F291302"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$ 200</w:t>
            </w:r>
          </w:p>
        </w:tc>
        <w:tc>
          <w:tcPr>
            <w:tcW w:w="1845" w:type="dxa"/>
            <w:tcBorders>
              <w:left w:val="dashDotStroked" w:color="auto" w:sz="24" w:space="0"/>
            </w:tcBorders>
            <w:tcMar/>
          </w:tcPr>
          <w:p w:rsidR="00003AF3" w:rsidP="003737F4" w:rsidRDefault="00003AF3" w14:paraId="2D9F7B81"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Nevada</w:t>
            </w:r>
          </w:p>
        </w:tc>
        <w:tc>
          <w:tcPr>
            <w:tcW w:w="837" w:type="dxa"/>
            <w:tcMar/>
          </w:tcPr>
          <w:p w:rsidR="00003AF3" w:rsidP="003737F4" w:rsidRDefault="00003AF3" w14:paraId="67B69F3A"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2013</w:t>
            </w:r>
          </w:p>
        </w:tc>
        <w:tc>
          <w:tcPr>
            <w:tcW w:w="1260" w:type="dxa"/>
            <w:tcMar/>
          </w:tcPr>
          <w:p w:rsidR="00003AF3" w:rsidP="003737F4" w:rsidRDefault="00003AF3" w14:paraId="64C4F25E"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$ 100</w:t>
            </w:r>
          </w:p>
        </w:tc>
      </w:tr>
      <w:tr w:rsidR="00B412F4" w:rsidTr="2D7ABE1E" w14:paraId="65FAEA7D" w14:textId="77777777">
        <w:trPr>
          <w:jc w:val="center"/>
        </w:trPr>
        <w:tc>
          <w:tcPr>
            <w:tcW w:w="1710" w:type="dxa"/>
            <w:tcMar/>
          </w:tcPr>
          <w:p w:rsidR="00B412F4" w:rsidP="00D258A0" w:rsidRDefault="00B412F4" w14:paraId="564EE26C" w14:textId="63BAA80C" w14:noSpellErr="1">
            <w:pPr>
              <w:pStyle w:val="Pa8"/>
              <w:spacing w:line="240" w:lineRule="auto"/>
              <w:rPr>
                <w:rStyle w:val="A0"/>
                <w:rFonts w:asciiTheme="minorHAnsi" w:hAnsiTheme="minorHAnsi"/>
              </w:rPr>
            </w:pPr>
            <w:r w:rsidRPr="2D7ABE1E" w:rsidR="2D7ABE1E">
              <w:rPr>
                <w:rStyle w:val="A0"/>
                <w:rFonts w:ascii="Calibri" w:hAnsi="Calibri" w:eastAsia="Calibri" w:cs="Calibri"/>
              </w:rPr>
              <w:t>Florida</w:t>
            </w:r>
          </w:p>
        </w:tc>
        <w:tc>
          <w:tcPr>
            <w:tcW w:w="990" w:type="dxa"/>
            <w:tcMar/>
          </w:tcPr>
          <w:p w:rsidR="00B412F4" w:rsidP="00D258A0" w:rsidRDefault="00B412F4" w14:paraId="2B511E5B" w14:textId="0ACDD132" w14:noSpellErr="1">
            <w:pPr>
              <w:pStyle w:val="Pa8"/>
              <w:spacing w:line="240" w:lineRule="auto"/>
              <w:rPr>
                <w:rStyle w:val="A0"/>
                <w:rFonts w:asciiTheme="minorHAnsi" w:hAnsiTheme="minorHAnsi"/>
              </w:rPr>
            </w:pPr>
            <w:r w:rsidRPr="2D7ABE1E" w:rsidR="2D7ABE1E">
              <w:rPr>
                <w:rStyle w:val="A0"/>
                <w:rFonts w:ascii="Calibri" w:hAnsi="Calibri" w:eastAsia="Calibri" w:cs="Calibri"/>
              </w:rPr>
              <w:t>2013</w:t>
            </w:r>
          </w:p>
        </w:tc>
        <w:tc>
          <w:tcPr>
            <w:tcW w:w="1260" w:type="dxa"/>
            <w:tcBorders>
              <w:right w:val="dashDotStroked" w:color="auto" w:sz="24" w:space="0"/>
            </w:tcBorders>
            <w:tcMar/>
          </w:tcPr>
          <w:p w:rsidR="00B412F4" w:rsidP="00D258A0" w:rsidRDefault="00B412F4" w14:paraId="620649B8" w14:textId="14DF0FCF" w14:noSpellErr="1">
            <w:pPr>
              <w:pStyle w:val="Pa8"/>
              <w:spacing w:line="240" w:lineRule="auto"/>
              <w:rPr>
                <w:rStyle w:val="A0"/>
                <w:rFonts w:asciiTheme="minorHAnsi" w:hAnsiTheme="minorHAnsi"/>
              </w:rPr>
            </w:pPr>
            <w:r w:rsidRPr="2D7ABE1E" w:rsidR="2D7ABE1E">
              <w:rPr>
                <w:rStyle w:val="A0"/>
                <w:rFonts w:ascii="Calibri" w:hAnsi="Calibri" w:eastAsia="Calibri" w:cs="Calibri"/>
              </w:rPr>
              <w:t>$ 50</w:t>
            </w:r>
          </w:p>
        </w:tc>
        <w:tc>
          <w:tcPr>
            <w:tcW w:w="1845" w:type="dxa"/>
            <w:tcBorders>
              <w:left w:val="dashDotStroked" w:color="auto" w:sz="24" w:space="0"/>
            </w:tcBorders>
            <w:tcMar/>
          </w:tcPr>
          <w:p w:rsidR="00B412F4" w:rsidP="003737F4" w:rsidRDefault="00B412F4" w14:paraId="26470EAF" w14:textId="5D02EBAB" w14:noSpellErr="1">
            <w:pPr>
              <w:pStyle w:val="Pa8"/>
              <w:spacing w:line="240" w:lineRule="auto"/>
              <w:rPr>
                <w:rStyle w:val="A0"/>
                <w:rFonts w:asciiTheme="minorHAnsi" w:hAnsiTheme="minorHAnsi"/>
              </w:rPr>
            </w:pPr>
            <w:r w:rsidRPr="2D7ABE1E" w:rsidR="2D7ABE1E">
              <w:rPr>
                <w:rStyle w:val="A0"/>
                <w:rFonts w:ascii="Calibri" w:hAnsi="Calibri" w:eastAsia="Calibri" w:cs="Calibri"/>
              </w:rPr>
              <w:t>New Hampshire</w:t>
            </w:r>
          </w:p>
        </w:tc>
        <w:tc>
          <w:tcPr>
            <w:tcW w:w="837" w:type="dxa"/>
            <w:tcMar/>
          </w:tcPr>
          <w:p w:rsidR="00B412F4" w:rsidP="003737F4" w:rsidRDefault="00B412F4" w14:paraId="0F0B0633" w14:textId="515F25DC" w14:noSpellErr="1">
            <w:pPr>
              <w:pStyle w:val="Pa8"/>
              <w:spacing w:line="240" w:lineRule="auto"/>
              <w:rPr>
                <w:rStyle w:val="A0"/>
                <w:rFonts w:asciiTheme="minorHAnsi" w:hAnsiTheme="minorHAnsi"/>
              </w:rPr>
            </w:pPr>
            <w:r w:rsidRPr="2D7ABE1E" w:rsidR="2D7ABE1E">
              <w:rPr>
                <w:rStyle w:val="A0"/>
                <w:rFonts w:ascii="Calibri" w:hAnsi="Calibri" w:eastAsia="Calibri" w:cs="Calibri"/>
              </w:rPr>
              <w:t>2015</w:t>
            </w:r>
          </w:p>
        </w:tc>
        <w:tc>
          <w:tcPr>
            <w:tcW w:w="1260" w:type="dxa"/>
            <w:tcMar/>
          </w:tcPr>
          <w:p w:rsidR="00B412F4" w:rsidP="003737F4" w:rsidRDefault="00B412F4" w14:paraId="34F995F7" w14:textId="0B1F7884" w14:noSpellErr="1">
            <w:pPr>
              <w:pStyle w:val="Pa8"/>
              <w:spacing w:line="240" w:lineRule="auto"/>
              <w:rPr>
                <w:rStyle w:val="A0"/>
                <w:rFonts w:asciiTheme="minorHAnsi" w:hAnsiTheme="minorHAnsi"/>
              </w:rPr>
            </w:pPr>
            <w:r w:rsidRPr="2D7ABE1E" w:rsidR="2D7ABE1E">
              <w:rPr>
                <w:rStyle w:val="A0"/>
                <w:rFonts w:ascii="Calibri" w:hAnsi="Calibri" w:eastAsia="Calibri" w:cs="Calibri"/>
              </w:rPr>
              <w:t>$ 200</w:t>
            </w:r>
          </w:p>
        </w:tc>
      </w:tr>
      <w:tr w:rsidR="00B412F4" w:rsidTr="2D7ABE1E" w14:paraId="0EF5EA3A" w14:textId="77777777">
        <w:trPr>
          <w:jc w:val="center"/>
        </w:trPr>
        <w:tc>
          <w:tcPr>
            <w:tcW w:w="1710" w:type="dxa"/>
            <w:tcMar/>
          </w:tcPr>
          <w:p w:rsidR="00B412F4" w:rsidP="00D258A0" w:rsidRDefault="00B412F4" w14:paraId="2E19B617" w14:textId="3888C94A" w14:noSpellErr="1">
            <w:pPr>
              <w:pStyle w:val="Pa8"/>
              <w:spacing w:line="240" w:lineRule="auto"/>
              <w:rPr>
                <w:rStyle w:val="A0"/>
                <w:rFonts w:asciiTheme="minorHAnsi" w:hAnsiTheme="minorHAnsi"/>
              </w:rPr>
            </w:pPr>
            <w:r w:rsidRPr="2D7ABE1E" w:rsidR="2D7ABE1E">
              <w:rPr>
                <w:rStyle w:val="A0"/>
                <w:rFonts w:ascii="Calibri" w:hAnsi="Calibri" w:eastAsia="Calibri" w:cs="Calibri"/>
              </w:rPr>
              <w:t>Georgia</w:t>
            </w:r>
          </w:p>
        </w:tc>
        <w:tc>
          <w:tcPr>
            <w:tcW w:w="990" w:type="dxa"/>
            <w:tcMar/>
          </w:tcPr>
          <w:p w:rsidR="00B412F4" w:rsidP="00D258A0" w:rsidRDefault="00B412F4" w14:paraId="39413C6D" w14:textId="55E9BB87" w14:noSpellErr="1">
            <w:pPr>
              <w:pStyle w:val="Pa8"/>
              <w:spacing w:line="240" w:lineRule="auto"/>
              <w:rPr>
                <w:rStyle w:val="A0"/>
                <w:rFonts w:asciiTheme="minorHAnsi" w:hAnsiTheme="minorHAnsi"/>
              </w:rPr>
            </w:pPr>
            <w:r w:rsidRPr="2D7ABE1E" w:rsidR="2D7ABE1E">
              <w:rPr>
                <w:rStyle w:val="A0"/>
                <w:rFonts w:ascii="Calibri" w:hAnsi="Calibri" w:eastAsia="Calibri" w:cs="Calibri"/>
              </w:rPr>
              <w:t>2014</w:t>
            </w:r>
          </w:p>
        </w:tc>
        <w:tc>
          <w:tcPr>
            <w:tcW w:w="1260" w:type="dxa"/>
            <w:tcBorders>
              <w:right w:val="dashDotStroked" w:color="auto" w:sz="24" w:space="0"/>
            </w:tcBorders>
            <w:tcMar/>
          </w:tcPr>
          <w:p w:rsidR="00B412F4" w:rsidP="00D258A0" w:rsidRDefault="00B412F4" w14:paraId="4C5B6063" w14:textId="67AC878C" w14:noSpellErr="1">
            <w:pPr>
              <w:pStyle w:val="Pa8"/>
              <w:spacing w:line="240" w:lineRule="auto"/>
              <w:rPr>
                <w:rStyle w:val="A0"/>
                <w:rFonts w:asciiTheme="minorHAnsi" w:hAnsiTheme="minorHAnsi"/>
              </w:rPr>
            </w:pPr>
            <w:r w:rsidRPr="2D7ABE1E" w:rsidR="2D7ABE1E">
              <w:rPr>
                <w:rStyle w:val="A0"/>
                <w:rFonts w:ascii="Calibri" w:hAnsi="Calibri" w:eastAsia="Calibri" w:cs="Calibri"/>
              </w:rPr>
              <w:t>$ 200</w:t>
            </w:r>
          </w:p>
        </w:tc>
        <w:tc>
          <w:tcPr>
            <w:tcW w:w="1845" w:type="dxa"/>
            <w:tcBorders>
              <w:left w:val="dashDotStroked" w:color="auto" w:sz="24" w:space="0"/>
            </w:tcBorders>
            <w:tcMar/>
          </w:tcPr>
          <w:p w:rsidR="00B412F4" w:rsidP="003737F4" w:rsidRDefault="00B412F4" w14:paraId="5F1E9847"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Ohio</w:t>
            </w:r>
          </w:p>
        </w:tc>
        <w:tc>
          <w:tcPr>
            <w:tcW w:w="837" w:type="dxa"/>
            <w:tcMar/>
          </w:tcPr>
          <w:p w:rsidR="00B412F4" w:rsidP="003737F4" w:rsidRDefault="00B412F4" w14:paraId="4E038A89"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2014</w:t>
            </w:r>
          </w:p>
        </w:tc>
        <w:tc>
          <w:tcPr>
            <w:tcW w:w="1260" w:type="dxa"/>
            <w:tcMar/>
          </w:tcPr>
          <w:p w:rsidR="00B412F4" w:rsidP="003737F4" w:rsidRDefault="00B412F4" w14:paraId="115409EE"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$ 100</w:t>
            </w:r>
          </w:p>
        </w:tc>
      </w:tr>
      <w:tr w:rsidR="00B412F4" w:rsidTr="2D7ABE1E" w14:paraId="088CBBB9" w14:textId="77777777">
        <w:trPr>
          <w:jc w:val="center"/>
        </w:trPr>
        <w:tc>
          <w:tcPr>
            <w:tcW w:w="1710" w:type="dxa"/>
            <w:tcMar/>
          </w:tcPr>
          <w:p w:rsidR="00B412F4" w:rsidP="00D258A0" w:rsidRDefault="00B412F4" w14:paraId="599615F3" w14:textId="7EAE14CC" w14:noSpellErr="1">
            <w:pPr>
              <w:pStyle w:val="Pa8"/>
              <w:spacing w:line="240" w:lineRule="auto"/>
              <w:rPr>
                <w:rStyle w:val="A0"/>
                <w:rFonts w:asciiTheme="minorHAnsi" w:hAnsiTheme="minorHAnsi"/>
              </w:rPr>
            </w:pPr>
            <w:r w:rsidRPr="2D7ABE1E" w:rsidR="2D7ABE1E">
              <w:rPr>
                <w:rStyle w:val="A0"/>
                <w:rFonts w:ascii="Calibri" w:hAnsi="Calibri" w:eastAsia="Calibri" w:cs="Calibri"/>
              </w:rPr>
              <w:t xml:space="preserve">Kentucky </w:t>
            </w:r>
          </w:p>
        </w:tc>
        <w:tc>
          <w:tcPr>
            <w:tcW w:w="990" w:type="dxa"/>
            <w:tcMar/>
          </w:tcPr>
          <w:p w:rsidR="00B412F4" w:rsidP="00D258A0" w:rsidRDefault="00B412F4" w14:paraId="43842FAC" w14:textId="58BCF03A" w14:noSpellErr="1">
            <w:pPr>
              <w:pStyle w:val="Pa8"/>
              <w:spacing w:line="240" w:lineRule="auto"/>
              <w:rPr>
                <w:rStyle w:val="A0"/>
                <w:rFonts w:asciiTheme="minorHAnsi" w:hAnsiTheme="minorHAnsi"/>
              </w:rPr>
            </w:pPr>
            <w:r w:rsidRPr="2D7ABE1E" w:rsidR="2D7ABE1E">
              <w:rPr>
                <w:rStyle w:val="A0"/>
                <w:rFonts w:ascii="Calibri" w:hAnsi="Calibri" w:eastAsia="Calibri" w:cs="Calibri"/>
              </w:rPr>
              <w:t>2014</w:t>
            </w:r>
          </w:p>
        </w:tc>
        <w:tc>
          <w:tcPr>
            <w:tcW w:w="1260" w:type="dxa"/>
            <w:tcBorders>
              <w:right w:val="dashDotStroked" w:color="auto" w:sz="24" w:space="0"/>
            </w:tcBorders>
            <w:tcMar/>
          </w:tcPr>
          <w:p w:rsidR="00B412F4" w:rsidP="00D258A0" w:rsidRDefault="00B412F4" w14:paraId="0D0324E1" w14:textId="5D66558F" w14:noSpellErr="1">
            <w:pPr>
              <w:pStyle w:val="Pa8"/>
              <w:spacing w:line="240" w:lineRule="auto"/>
              <w:rPr>
                <w:rStyle w:val="A0"/>
                <w:rFonts w:asciiTheme="minorHAnsi" w:hAnsiTheme="minorHAnsi"/>
              </w:rPr>
            </w:pPr>
            <w:r w:rsidRPr="2D7ABE1E" w:rsidR="2D7ABE1E">
              <w:rPr>
                <w:rStyle w:val="A0"/>
                <w:rFonts w:ascii="Calibri" w:hAnsi="Calibri" w:eastAsia="Calibri" w:cs="Calibri"/>
              </w:rPr>
              <w:t>$ 100</w:t>
            </w:r>
          </w:p>
        </w:tc>
        <w:tc>
          <w:tcPr>
            <w:tcW w:w="1845" w:type="dxa"/>
            <w:tcBorders>
              <w:left w:val="dashDotStroked" w:color="auto" w:sz="24" w:space="0"/>
            </w:tcBorders>
            <w:tcMar/>
          </w:tcPr>
          <w:p w:rsidR="00B412F4" w:rsidP="003737F4" w:rsidRDefault="00B412F4" w14:paraId="68C76818"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 xml:space="preserve">Oklahoma </w:t>
            </w:r>
          </w:p>
        </w:tc>
        <w:tc>
          <w:tcPr>
            <w:tcW w:w="837" w:type="dxa"/>
            <w:tcMar/>
          </w:tcPr>
          <w:p w:rsidR="00B412F4" w:rsidP="003737F4" w:rsidRDefault="00B412F4" w14:paraId="1C6833C5"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2013</w:t>
            </w:r>
          </w:p>
        </w:tc>
        <w:tc>
          <w:tcPr>
            <w:tcW w:w="1260" w:type="dxa"/>
            <w:tcMar/>
          </w:tcPr>
          <w:p w:rsidR="00B412F4" w:rsidP="003737F4" w:rsidRDefault="00B412F4" w14:paraId="14926DB3"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$ 100</w:t>
            </w:r>
          </w:p>
        </w:tc>
      </w:tr>
      <w:tr w:rsidR="00B412F4" w:rsidTr="2D7ABE1E" w14:paraId="1E47A83A" w14:textId="77777777">
        <w:trPr>
          <w:jc w:val="center"/>
        </w:trPr>
        <w:tc>
          <w:tcPr>
            <w:tcW w:w="1710" w:type="dxa"/>
            <w:tcMar/>
          </w:tcPr>
          <w:p w:rsidR="00B412F4" w:rsidP="00D258A0" w:rsidRDefault="00B412F4" w14:paraId="20E892DB" w14:textId="5A485ECB" w14:noSpellErr="1">
            <w:pPr>
              <w:pStyle w:val="Pa8"/>
              <w:spacing w:line="240" w:lineRule="auto"/>
              <w:rPr>
                <w:rStyle w:val="A0"/>
                <w:rFonts w:asciiTheme="minorHAnsi" w:hAnsiTheme="minorHAnsi"/>
              </w:rPr>
            </w:pPr>
            <w:r w:rsidRPr="2D7ABE1E" w:rsidR="2D7ABE1E">
              <w:rPr>
                <w:rStyle w:val="A0"/>
                <w:rFonts w:ascii="Calibri" w:hAnsi="Calibri" w:eastAsia="Calibri" w:cs="Calibri"/>
              </w:rPr>
              <w:t>Louisiana</w:t>
            </w:r>
          </w:p>
        </w:tc>
        <w:tc>
          <w:tcPr>
            <w:tcW w:w="990" w:type="dxa"/>
            <w:tcMar/>
          </w:tcPr>
          <w:p w:rsidR="00B412F4" w:rsidP="00D258A0" w:rsidRDefault="00B412F4" w14:paraId="620F939D" w14:textId="5CC377F3" w14:noSpellErr="1">
            <w:pPr>
              <w:pStyle w:val="Pa8"/>
              <w:spacing w:line="240" w:lineRule="auto"/>
              <w:rPr>
                <w:rStyle w:val="A0"/>
                <w:rFonts w:asciiTheme="minorHAnsi" w:hAnsiTheme="minorHAnsi"/>
              </w:rPr>
            </w:pPr>
            <w:r w:rsidRPr="2D7ABE1E" w:rsidR="2D7ABE1E">
              <w:rPr>
                <w:rStyle w:val="A0"/>
                <w:rFonts w:ascii="Calibri" w:hAnsi="Calibri" w:eastAsia="Calibri" w:cs="Calibri"/>
              </w:rPr>
              <w:t>2012</w:t>
            </w:r>
          </w:p>
        </w:tc>
        <w:tc>
          <w:tcPr>
            <w:tcW w:w="1260" w:type="dxa"/>
            <w:tcBorders>
              <w:right w:val="dashDotStroked" w:color="auto" w:sz="24" w:space="0"/>
            </w:tcBorders>
            <w:tcMar/>
          </w:tcPr>
          <w:p w:rsidR="00B412F4" w:rsidP="00D258A0" w:rsidRDefault="00B412F4" w14:paraId="74A8CBCB" w14:textId="3BF795D3" w14:noSpellErr="1">
            <w:pPr>
              <w:pStyle w:val="Pa8"/>
              <w:spacing w:line="240" w:lineRule="auto"/>
              <w:rPr>
                <w:rStyle w:val="A0"/>
                <w:rFonts w:asciiTheme="minorHAnsi" w:hAnsiTheme="minorHAnsi"/>
              </w:rPr>
            </w:pPr>
            <w:r w:rsidRPr="2D7ABE1E" w:rsidR="2D7ABE1E">
              <w:rPr>
                <w:rStyle w:val="A0"/>
                <w:rFonts w:ascii="Calibri" w:hAnsi="Calibri" w:eastAsia="Calibri" w:cs="Calibri"/>
              </w:rPr>
              <w:t>$ 100</w:t>
            </w:r>
          </w:p>
        </w:tc>
        <w:tc>
          <w:tcPr>
            <w:tcW w:w="1845" w:type="dxa"/>
            <w:tcBorders>
              <w:left w:val="dashDotStroked" w:color="auto" w:sz="24" w:space="0"/>
            </w:tcBorders>
            <w:tcMar/>
          </w:tcPr>
          <w:p w:rsidR="00B412F4" w:rsidP="003737F4" w:rsidRDefault="00B412F4" w14:paraId="4D92992F"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Utah</w:t>
            </w:r>
          </w:p>
        </w:tc>
        <w:tc>
          <w:tcPr>
            <w:tcW w:w="837" w:type="dxa"/>
            <w:tcMar/>
          </w:tcPr>
          <w:p w:rsidR="00B412F4" w:rsidP="003737F4" w:rsidRDefault="00B412F4" w14:paraId="04230DE0"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2013</w:t>
            </w:r>
          </w:p>
        </w:tc>
        <w:tc>
          <w:tcPr>
            <w:tcW w:w="1260" w:type="dxa"/>
            <w:tcMar/>
          </w:tcPr>
          <w:p w:rsidR="00B412F4" w:rsidP="003737F4" w:rsidRDefault="00B412F4" w14:paraId="1F20AAC8"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$ 300</w:t>
            </w:r>
          </w:p>
        </w:tc>
      </w:tr>
      <w:tr w:rsidR="00B412F4" w:rsidTr="2D7ABE1E" w14:paraId="515E1328" w14:textId="77777777">
        <w:trPr>
          <w:jc w:val="center"/>
        </w:trPr>
        <w:tc>
          <w:tcPr>
            <w:tcW w:w="1710" w:type="dxa"/>
            <w:tcMar/>
          </w:tcPr>
          <w:p w:rsidR="00B412F4" w:rsidP="00D258A0" w:rsidRDefault="00B412F4" w14:paraId="5643AD92" w14:textId="1F1A35D3" w14:noSpellErr="1">
            <w:pPr>
              <w:pStyle w:val="Pa8"/>
              <w:spacing w:line="240" w:lineRule="auto"/>
              <w:rPr>
                <w:rStyle w:val="A0"/>
                <w:rFonts w:asciiTheme="minorHAnsi" w:hAnsiTheme="minorHAnsi"/>
              </w:rPr>
            </w:pPr>
            <w:r w:rsidRPr="2D7ABE1E" w:rsidR="2D7ABE1E">
              <w:rPr>
                <w:rStyle w:val="A0"/>
                <w:rFonts w:ascii="Calibri" w:hAnsi="Calibri" w:eastAsia="Calibri" w:cs="Calibri"/>
              </w:rPr>
              <w:t>Missouri</w:t>
            </w:r>
          </w:p>
        </w:tc>
        <w:tc>
          <w:tcPr>
            <w:tcW w:w="990" w:type="dxa"/>
            <w:tcMar/>
          </w:tcPr>
          <w:p w:rsidR="00B412F4" w:rsidP="00D258A0" w:rsidRDefault="00B412F4" w14:paraId="39F8A1BF" w14:textId="6108C842" w14:noSpellErr="1">
            <w:pPr>
              <w:pStyle w:val="Pa8"/>
              <w:spacing w:line="240" w:lineRule="auto"/>
              <w:rPr>
                <w:rStyle w:val="A0"/>
                <w:rFonts w:asciiTheme="minorHAnsi" w:hAnsiTheme="minorHAnsi"/>
              </w:rPr>
            </w:pPr>
            <w:r w:rsidRPr="2D7ABE1E" w:rsidR="2D7ABE1E">
              <w:rPr>
                <w:rStyle w:val="A0"/>
                <w:rFonts w:ascii="Calibri" w:hAnsi="Calibri" w:eastAsia="Calibri" w:cs="Calibri"/>
              </w:rPr>
              <w:t>2014</w:t>
            </w:r>
          </w:p>
        </w:tc>
        <w:tc>
          <w:tcPr>
            <w:tcW w:w="1260" w:type="dxa"/>
            <w:tcBorders>
              <w:right w:val="dashDotStroked" w:color="auto" w:sz="24" w:space="0"/>
            </w:tcBorders>
            <w:tcMar/>
          </w:tcPr>
          <w:p w:rsidR="00B412F4" w:rsidP="00D258A0" w:rsidRDefault="00B412F4" w14:paraId="3CAF8199" w14:textId="386B392E" w14:noSpellErr="1">
            <w:pPr>
              <w:pStyle w:val="Pa8"/>
              <w:spacing w:line="240" w:lineRule="auto"/>
              <w:rPr>
                <w:rStyle w:val="A0"/>
                <w:rFonts w:asciiTheme="minorHAnsi" w:hAnsiTheme="minorHAnsi"/>
              </w:rPr>
            </w:pPr>
            <w:r w:rsidRPr="2D7ABE1E" w:rsidR="2D7ABE1E">
              <w:rPr>
                <w:rStyle w:val="A0"/>
                <w:rFonts w:ascii="Calibri" w:hAnsi="Calibri" w:eastAsia="Calibri" w:cs="Calibri"/>
              </w:rPr>
              <w:t>$ 75</w:t>
            </w:r>
          </w:p>
        </w:tc>
        <w:tc>
          <w:tcPr>
            <w:tcW w:w="1845" w:type="dxa"/>
            <w:tcBorders>
              <w:left w:val="dashDotStroked" w:color="auto" w:sz="24" w:space="0"/>
            </w:tcBorders>
            <w:tcMar/>
          </w:tcPr>
          <w:p w:rsidR="00B412F4" w:rsidP="003737F4" w:rsidRDefault="00B412F4" w14:paraId="3242F233"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Wisconsin</w:t>
            </w:r>
          </w:p>
        </w:tc>
        <w:tc>
          <w:tcPr>
            <w:tcW w:w="837" w:type="dxa"/>
            <w:tcMar/>
          </w:tcPr>
          <w:p w:rsidR="00B412F4" w:rsidP="003737F4" w:rsidRDefault="00B412F4" w14:paraId="0FDC32E8"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2014</w:t>
            </w:r>
          </w:p>
        </w:tc>
        <w:tc>
          <w:tcPr>
            <w:tcW w:w="1260" w:type="dxa"/>
            <w:tcMar/>
          </w:tcPr>
          <w:p w:rsidR="00B412F4" w:rsidP="003737F4" w:rsidRDefault="00B412F4" w14:paraId="19968C56" w14:textId="77777777" w14:noSpellErr="1">
            <w:pPr>
              <w:pStyle w:val="Pa8"/>
              <w:spacing w:line="240" w:lineRule="auto"/>
              <w:rPr>
                <w:rStyle w:val="A0"/>
                <w:rFonts w:asciiTheme="minorHAnsi" w:hAnsiTheme="minorHAnsi"/>
              </w:rPr>
            </w:pPr>
            <w:r w:rsidRPr="2D7ABE1E" w:rsidR="2D7ABE1E">
              <w:rPr>
                <w:rStyle w:val="A0"/>
                <w:rFonts w:ascii="Calibri" w:hAnsi="Calibri" w:eastAsia="Calibri" w:cs="Calibri"/>
              </w:rPr>
              <w:t>$ 100</w:t>
            </w:r>
          </w:p>
        </w:tc>
      </w:tr>
    </w:tbl>
    <w:p w:rsidR="004B1761" w:rsidP="00560CD3" w:rsidRDefault="004B1761" w14:paraId="1A2A8E9A" w14:textId="77777777">
      <w:pPr>
        <w:pStyle w:val="ListParagraph"/>
        <w:spacing w:after="0" w:line="240" w:lineRule="auto"/>
        <w:ind w:left="360"/>
        <w:contextualSpacing w:val="0"/>
        <w:rPr>
          <w:color w:val="000000"/>
          <w:sz w:val="24"/>
          <w:szCs w:val="24"/>
        </w:rPr>
      </w:pPr>
    </w:p>
    <w:p w:rsidR="00B71D62" w:rsidP="00560CD3" w:rsidRDefault="00B71D62" w14:paraId="3202CABB" w14:textId="77777777">
      <w:pPr>
        <w:spacing w:after="0" w:line="240" w:lineRule="auto"/>
        <w:rPr>
          <w:b/>
          <w:color w:val="000000"/>
          <w:sz w:val="24"/>
          <w:szCs w:val="24"/>
        </w:rPr>
      </w:pPr>
    </w:p>
    <w:p w:rsidR="00B71D62" w:rsidP="00560CD3" w:rsidRDefault="00B71D62" w14:paraId="79B93A09" w14:textId="77777777">
      <w:pPr>
        <w:spacing w:after="0" w:line="240" w:lineRule="auto"/>
        <w:rPr>
          <w:b/>
          <w:color w:val="000000"/>
          <w:sz w:val="24"/>
          <w:szCs w:val="24"/>
        </w:rPr>
      </w:pPr>
    </w:p>
    <w:p w:rsidR="00031172" w:rsidP="00560CD3" w:rsidRDefault="00031172" w14:paraId="08A871E1" w14:textId="77777777">
      <w:pPr>
        <w:spacing w:after="0" w:line="240" w:lineRule="auto"/>
        <w:rPr>
          <w:b/>
          <w:color w:val="000000"/>
          <w:sz w:val="24"/>
          <w:szCs w:val="24"/>
        </w:rPr>
      </w:pPr>
    </w:p>
    <w:p w:rsidR="2D7ABE1E" w:rsidP="2D7ABE1E" w:rsidRDefault="2D7ABE1E" w14:noSpellErr="1" w14:paraId="391BD894" w14:textId="187589D6">
      <w:pPr>
        <w:spacing w:after="0" w:line="240" w:lineRule="auto"/>
      </w:pPr>
    </w:p>
    <w:p w:rsidR="2D7ABE1E" w:rsidP="2D7ABE1E" w:rsidRDefault="2D7ABE1E" w14:noSpellErr="1" w14:paraId="5E996B15" w14:textId="4A660C45">
      <w:pPr>
        <w:spacing w:after="0" w:line="240" w:lineRule="auto"/>
      </w:pPr>
    </w:p>
    <w:p w:rsidR="2D7ABE1E" w:rsidP="2D7ABE1E" w:rsidRDefault="2D7ABE1E" w14:noSpellErr="1" w14:paraId="54BB6B5D" w14:textId="470003D6">
      <w:pPr>
        <w:spacing w:after="0" w:line="240" w:lineRule="auto"/>
      </w:pPr>
    </w:p>
    <w:p w:rsidR="00560CD3" w:rsidP="00560CD3" w:rsidRDefault="00D55E56" w14:paraId="1FAF3156" w14:textId="77777777" w14:noSpellErr="1">
      <w:pPr>
        <w:spacing w:after="0" w:line="240" w:lineRule="auto"/>
        <w:rPr>
          <w:b/>
          <w:color w:val="000000"/>
          <w:sz w:val="24"/>
          <w:szCs w:val="24"/>
        </w:rPr>
      </w:pPr>
      <w:r w:rsidRPr="2D7ABE1E" w:rsidR="2D7ABE1E">
        <w:rPr>
          <w:rFonts w:ascii="Calibri" w:hAnsi="Calibri" w:eastAsia="Calibri" w:cs="Calibri"/>
          <w:b w:val="1"/>
          <w:bCs w:val="1"/>
          <w:color w:val="000000" w:themeColor="text1" w:themeTint="FF" w:themeShade="FF"/>
          <w:sz w:val="24"/>
          <w:szCs w:val="24"/>
        </w:rPr>
        <w:t>“</w:t>
      </w:r>
      <w:r w:rsidRPr="2D7ABE1E" w:rsidR="2D7ABE1E">
        <w:rPr>
          <w:rFonts w:ascii="Calibri" w:hAnsi="Calibri" w:eastAsia="Calibri" w:cs="Calibri"/>
          <w:b w:val="1"/>
          <w:bCs w:val="1"/>
          <w:color w:val="000000" w:themeColor="text1" w:themeTint="FF" w:themeShade="FF"/>
          <w:sz w:val="24"/>
          <w:szCs w:val="24"/>
        </w:rPr>
        <w:t>Would thi</w:t>
      </w:r>
      <w:r w:rsidRPr="2D7ABE1E" w:rsidR="2D7ABE1E">
        <w:rPr>
          <w:rFonts w:ascii="Calibri" w:hAnsi="Calibri" w:eastAsia="Calibri" w:cs="Calibri"/>
          <w:b w:val="1"/>
          <w:bCs w:val="1"/>
          <w:color w:val="000000" w:themeColor="text1" w:themeTint="FF" w:themeShade="FF"/>
          <w:sz w:val="24"/>
          <w:szCs w:val="24"/>
        </w:rPr>
        <w:t>s bill be considered a mandate?”</w:t>
      </w:r>
    </w:p>
    <w:p w:rsidRPr="00560CD3" w:rsidR="00560CD3" w:rsidP="00560CD3" w:rsidRDefault="00560CD3" w14:paraId="5AAAA67E" w14:textId="77777777">
      <w:pPr>
        <w:spacing w:after="0" w:line="240" w:lineRule="auto"/>
        <w:rPr>
          <w:b/>
          <w:color w:val="000000"/>
          <w:sz w:val="24"/>
          <w:szCs w:val="24"/>
        </w:rPr>
      </w:pPr>
    </w:p>
    <w:p w:rsidR="00560CD3" w:rsidP="00560CD3" w:rsidRDefault="00560CD3" w14:paraId="62F304EE" w14:textId="77777777" w14:noSpellErr="1">
      <w:pPr>
        <w:pStyle w:val="ListParagraph"/>
        <w:numPr>
          <w:ilvl w:val="0"/>
          <w:numId w:val="22"/>
        </w:numPr>
        <w:spacing w:after="0" w:line="240" w:lineRule="auto"/>
        <w:contextualSpacing w:val="0"/>
        <w:rPr>
          <w:color w:val="000000"/>
          <w:sz w:val="24"/>
          <w:szCs w:val="24"/>
        </w:rPr>
      </w:pPr>
      <w:r w:rsidRPr="2D7ABE1E" w:rsidR="2D7ABE1E">
        <w:rPr>
          <w:rFonts w:ascii="Calibri" w:hAnsi="Calibri" w:eastAsia="Calibri" w:cs="Calibri"/>
          <w:color w:val="000000" w:themeColor="text1" w:themeTint="FF" w:themeShade="FF"/>
          <w:sz w:val="24"/>
          <w:szCs w:val="24"/>
        </w:rPr>
        <w:t xml:space="preserve">No. This bill applies only to health plans that already offer coverage for medications used to treat cancer. So, in other words, this bill does not require the coverage of a new benefit or service.  </w:t>
      </w:r>
    </w:p>
    <w:p w:rsidRPr="00560CD3" w:rsidR="00560CD3" w:rsidP="00560CD3" w:rsidRDefault="00560CD3" w14:paraId="040255A3" w14:textId="77777777" w14:noSpellErr="1">
      <w:pPr>
        <w:pStyle w:val="ListParagraph"/>
        <w:numPr>
          <w:ilvl w:val="0"/>
          <w:numId w:val="22"/>
        </w:numPr>
        <w:spacing w:after="0" w:line="240" w:lineRule="auto"/>
        <w:contextualSpacing w:val="0"/>
        <w:rPr>
          <w:color w:val="000000"/>
          <w:sz w:val="24"/>
          <w:szCs w:val="24"/>
        </w:rPr>
      </w:pPr>
      <w:r w:rsidRPr="2D7ABE1E">
        <w:rPr>
          <w:rFonts w:ascii="Calibri" w:hAnsi="Calibri" w:eastAsia="Calibri" w:cs="Calibri"/>
          <w:color w:val="000000"/>
          <w:sz w:val="24"/>
          <w:szCs w:val="24"/>
        </w:rPr>
        <w:t xml:space="preserve">With regard to the Affordable Care Act (ACA): the ACA permits a state to require qualified health plans (QHPs) to offer benefits that go above and beyond those already included in the essential health benefits package (EHB) selected by that state. However, if doing so, the state must defray the cost of these additional benefits, if those benefits were mandated in </w:t>
      </w:r>
      <w:r w:rsidRPr="2D7ABE1E" w:rsidR="00783A7F">
        <w:rPr>
          <w:rFonts w:ascii="Calibri" w:hAnsi="Calibri" w:eastAsia="Calibri" w:cs="Calibri"/>
          <w:color w:val="000000"/>
          <w:sz w:val="24"/>
          <w:szCs w:val="24"/>
        </w:rPr>
        <w:t xml:space="preserve">state laws enacted on or after January </w:t>
      </w:r>
      <w:r w:rsidRPr="2D7ABE1E">
        <w:rPr>
          <w:rFonts w:ascii="Calibri" w:hAnsi="Calibri" w:eastAsia="Calibri" w:cs="Calibri"/>
          <w:color w:val="000000"/>
          <w:sz w:val="24"/>
          <w:szCs w:val="24"/>
        </w:rPr>
        <w:t>1, 201</w:t>
      </w:r>
      <w:r w:rsidRPr="2D7ABE1E" w:rsidR="00783A7F">
        <w:rPr>
          <w:rFonts w:ascii="Calibri" w:hAnsi="Calibri" w:eastAsia="Calibri" w:cs="Calibri"/>
          <w:color w:val="000000"/>
          <w:sz w:val="24"/>
          <w:szCs w:val="24"/>
        </w:rPr>
        <w:t>2</w:t>
      </w:r>
      <w:r w:rsidRPr="2D7ABE1E">
        <w:rPr>
          <w:rFonts w:ascii="Calibri" w:hAnsi="Calibri" w:eastAsia="Calibri" w:cs="Calibri"/>
          <w:color w:val="000000"/>
          <w:sz w:val="24"/>
          <w:szCs w:val="24"/>
        </w:rPr>
        <w:t xml:space="preserve">. Federal regulation specified that this requirement applies to state laws that require the coverage of </w:t>
      </w:r>
      <w:r w:rsidRPr="2D7ABE1E">
        <w:rPr>
          <w:rFonts w:ascii="Calibri" w:hAnsi="Calibri" w:eastAsia="Calibri" w:cs="Calibri"/>
          <w:color w:val="000000"/>
          <w:sz w:val="24"/>
          <w:szCs w:val="24"/>
          <w:u w:val="single"/>
        </w:rPr>
        <w:t>NEW</w:t>
      </w:r>
      <w:r w:rsidRPr="2D7ABE1E">
        <w:rPr>
          <w:rFonts w:ascii="Calibri" w:hAnsi="Calibri" w:eastAsia="Calibri" w:cs="Calibri"/>
          <w:color w:val="000000"/>
          <w:sz w:val="24"/>
          <w:szCs w:val="24"/>
        </w:rPr>
        <w:t xml:space="preserve"> benefits</w:t>
      </w:r>
      <w:r w:rsidRPr="2D7ABE1E">
        <w:rPr>
          <w:rFonts w:ascii="Calibri" w:hAnsi="Calibri" w:eastAsia="Calibri" w:cs="Calibri"/>
          <w:color w:val="000000"/>
          <w:sz w:val="24"/>
          <w:szCs w:val="24"/>
        </w:rPr>
        <w:t xml:space="preserve"> and/or services. In 2013, CMS was asked if – in light of this requirement – a state would have to defray the cost of oral parity requirements enacted </w:t>
      </w:r>
      <w:r w:rsidRPr="2D7ABE1E" w:rsidR="00C0188A">
        <w:rPr>
          <w:rFonts w:ascii="Calibri" w:hAnsi="Calibri" w:eastAsia="Calibri" w:cs="Calibri"/>
          <w:color w:val="000000"/>
          <w:sz w:val="24"/>
          <w:szCs w:val="24"/>
        </w:rPr>
        <w:t>in 2012 and beyond</w:t>
      </w:r>
      <w:r w:rsidRPr="2D7ABE1E">
        <w:rPr>
          <w:rFonts w:ascii="Calibri" w:hAnsi="Calibri" w:eastAsia="Calibri" w:cs="Calibri"/>
          <w:color w:val="000000"/>
          <w:sz w:val="24"/>
          <w:szCs w:val="24"/>
        </w:rPr>
        <w:t xml:space="preserve">. In reply, CMS wrote, “No. We do not consider such payment parity bills to create a requirement to cover a </w:t>
      </w:r>
      <w:r w:rsidRPr="2D7ABE1E">
        <w:rPr>
          <w:rFonts w:ascii="Calibri" w:hAnsi="Calibri" w:eastAsia="Calibri" w:cs="Calibri"/>
          <w:color w:val="000000"/>
          <w:sz w:val="24"/>
          <w:szCs w:val="24"/>
          <w:u w:val="single"/>
        </w:rPr>
        <w:t>NEW</w:t>
      </w:r>
      <w:r w:rsidRPr="2D7ABE1E">
        <w:rPr>
          <w:rFonts w:ascii="Calibri" w:hAnsi="Calibri" w:eastAsia="Calibri" w:cs="Calibri"/>
          <w:color w:val="000000"/>
          <w:sz w:val="24"/>
          <w:szCs w:val="24"/>
        </w:rPr>
        <w:t xml:space="preserve"> benefit.”</w:t>
      </w:r>
      <w:r w:rsidRPr="2D7ABE1E">
        <w:rPr>
          <w:rStyle w:val="EndnoteReference"/>
          <w:rFonts w:ascii="Calibri" w:hAnsi="Calibri" w:eastAsia="Calibri" w:cs="Calibri"/>
          <w:color w:val="000000"/>
          <w:sz w:val="24"/>
          <w:szCs w:val="24"/>
        </w:rPr>
        <w:endnoteReference w:id="2"/>
      </w:r>
      <w:r w:rsidRPr="2D7ABE1E">
        <w:rPr>
          <w:rFonts w:ascii="Calibri" w:hAnsi="Calibri" w:eastAsia="Calibri" w:cs="Calibri"/>
          <w:color w:val="000000"/>
          <w:sz w:val="24"/>
          <w:szCs w:val="24"/>
        </w:rPr>
        <w:t xml:space="preserve"> </w:t>
      </w:r>
      <w:r w:rsidRPr="2D7ABE1E" w:rsidR="00C0188A">
        <w:rPr>
          <w:rFonts w:ascii="Calibri" w:hAnsi="Calibri" w:eastAsia="Calibri" w:cs="Calibri"/>
          <w:color w:val="000000"/>
          <w:sz w:val="24"/>
          <w:szCs w:val="24"/>
        </w:rPr>
        <w:t xml:space="preserve">In other words, CMS does not consider oral parity to be a mandate and, as a result, a </w:t>
      </w:r>
      <w:r w:rsidRPr="2D7ABE1E">
        <w:rPr>
          <w:rFonts w:ascii="Calibri" w:hAnsi="Calibri" w:eastAsia="Calibri" w:cs="Calibri"/>
          <w:color w:val="000000"/>
          <w:sz w:val="24"/>
          <w:szCs w:val="24"/>
        </w:rPr>
        <w:t xml:space="preserve">state would </w:t>
      </w:r>
      <w:r w:rsidRPr="2D7ABE1E" w:rsidR="00C0188A">
        <w:rPr>
          <w:rFonts w:ascii="Calibri" w:hAnsi="Calibri" w:eastAsia="Calibri" w:cs="Calibri"/>
          <w:color w:val="000000"/>
          <w:sz w:val="24"/>
          <w:szCs w:val="24"/>
        </w:rPr>
        <w:t>not have to defray the cost of</w:t>
      </w:r>
      <w:r w:rsidRPr="2D7ABE1E">
        <w:rPr>
          <w:rFonts w:ascii="Calibri" w:hAnsi="Calibri" w:eastAsia="Calibri" w:cs="Calibri"/>
          <w:color w:val="000000"/>
          <w:sz w:val="24"/>
          <w:szCs w:val="24"/>
        </w:rPr>
        <w:t xml:space="preserve"> </w:t>
      </w:r>
      <w:r w:rsidRPr="2D7ABE1E" w:rsidR="00C0188A">
        <w:rPr>
          <w:rFonts w:ascii="Calibri" w:hAnsi="Calibri" w:eastAsia="Calibri" w:cs="Calibri"/>
          <w:color w:val="000000"/>
          <w:sz w:val="24"/>
          <w:szCs w:val="24"/>
        </w:rPr>
        <w:t xml:space="preserve">oral </w:t>
      </w:r>
      <w:r w:rsidRPr="2D7ABE1E">
        <w:rPr>
          <w:rFonts w:ascii="Calibri" w:hAnsi="Calibri" w:eastAsia="Calibri" w:cs="Calibri"/>
          <w:color w:val="000000"/>
          <w:sz w:val="24"/>
          <w:szCs w:val="24"/>
        </w:rPr>
        <w:t>parity</w:t>
      </w:r>
      <w:r w:rsidRPr="2D7ABE1E">
        <w:rPr>
          <w:rFonts w:ascii="Calibri" w:hAnsi="Calibri" w:eastAsia="Calibri" w:cs="Calibri"/>
          <w:color w:val="000000"/>
          <w:sz w:val="24"/>
          <w:szCs w:val="24"/>
        </w:rPr>
        <w:t xml:space="preserve">. </w:t>
      </w:r>
    </w:p>
    <w:p w:rsidRPr="004B1761" w:rsidR="00560CD3" w:rsidP="004B1761" w:rsidRDefault="00560CD3" w14:paraId="78F5022A" w14:textId="77777777">
      <w:pPr>
        <w:pStyle w:val="ListParagraph"/>
        <w:spacing w:after="0" w:line="240" w:lineRule="auto"/>
        <w:ind w:left="360"/>
        <w:contextualSpacing w:val="0"/>
        <w:rPr>
          <w:color w:val="000000"/>
          <w:sz w:val="24"/>
          <w:szCs w:val="24"/>
        </w:rPr>
      </w:pPr>
    </w:p>
    <w:p w:rsidRPr="004B1761" w:rsidR="00580440" w:rsidP="004B1761" w:rsidRDefault="00D55E56" w14:paraId="36F13A13" w14:textId="77777777" w14:noSpellErr="1">
      <w:pPr>
        <w:spacing w:after="0" w:line="240" w:lineRule="auto"/>
        <w:rPr>
          <w:b/>
          <w:sz w:val="24"/>
          <w:szCs w:val="24"/>
        </w:rPr>
      </w:pPr>
      <w:r w:rsidRPr="2D7ABE1E" w:rsidR="2D7ABE1E">
        <w:rPr>
          <w:rFonts w:ascii="Calibri" w:hAnsi="Calibri" w:eastAsia="Calibri" w:cs="Calibri"/>
          <w:b w:val="1"/>
          <w:bCs w:val="1"/>
          <w:sz w:val="24"/>
          <w:szCs w:val="24"/>
        </w:rPr>
        <w:t>“</w:t>
      </w:r>
      <w:r w:rsidRPr="2D7ABE1E" w:rsidR="2D7ABE1E">
        <w:rPr>
          <w:rFonts w:ascii="Calibri" w:hAnsi="Calibri" w:eastAsia="Calibri" w:cs="Calibri"/>
          <w:b w:val="1"/>
          <w:bCs w:val="1"/>
          <w:sz w:val="24"/>
          <w:szCs w:val="24"/>
        </w:rPr>
        <w:t>Doesn’t the ACA</w:t>
      </w:r>
      <w:r w:rsidRPr="2D7ABE1E" w:rsidR="2D7ABE1E">
        <w:rPr>
          <w:rFonts w:ascii="Calibri" w:hAnsi="Calibri" w:eastAsia="Calibri" w:cs="Calibri"/>
          <w:b w:val="1"/>
          <w:bCs w:val="1"/>
          <w:sz w:val="24"/>
          <w:szCs w:val="24"/>
        </w:rPr>
        <w:t>’s out-of-pocket maximum</w:t>
      </w:r>
      <w:r w:rsidRPr="2D7ABE1E" w:rsidR="2D7ABE1E">
        <w:rPr>
          <w:rFonts w:ascii="Calibri" w:hAnsi="Calibri" w:eastAsia="Calibri" w:cs="Calibri"/>
          <w:b w:val="1"/>
          <w:bCs w:val="1"/>
          <w:sz w:val="24"/>
          <w:szCs w:val="24"/>
        </w:rPr>
        <w:t xml:space="preserve"> address this prob</w:t>
      </w:r>
      <w:r w:rsidRPr="2D7ABE1E" w:rsidR="2D7ABE1E">
        <w:rPr>
          <w:rFonts w:ascii="Calibri" w:hAnsi="Calibri" w:eastAsia="Calibri" w:cs="Calibri"/>
          <w:b w:val="1"/>
          <w:bCs w:val="1"/>
          <w:sz w:val="24"/>
          <w:szCs w:val="24"/>
        </w:rPr>
        <w:t>lem?”</w:t>
      </w:r>
    </w:p>
    <w:p w:rsidRPr="00E956E9" w:rsidR="00543B93" w:rsidP="00580440" w:rsidRDefault="00543B93" w14:paraId="61BC4316" w14:textId="77777777">
      <w:pPr>
        <w:pStyle w:val="PlainText"/>
        <w:rPr>
          <w:rFonts w:asciiTheme="minorHAnsi" w:hAnsiTheme="minorHAnsi"/>
          <w:b/>
          <w:sz w:val="24"/>
          <w:szCs w:val="24"/>
        </w:rPr>
      </w:pPr>
    </w:p>
    <w:p w:rsidRPr="00580440" w:rsidR="00580440" w:rsidP="2D7ABE1E" w:rsidRDefault="00580440" w14:paraId="497BFBF3" w14:noSpellErr="1" w14:textId="0232845B">
      <w:pPr>
        <w:pStyle w:val="ListParagraph"/>
        <w:numPr>
          <w:ilvl w:val="0"/>
          <w:numId w:val="4"/>
        </w:numPr>
        <w:spacing w:after="0" w:line="240" w:lineRule="auto"/>
        <w:contextualSpacing w:val="0"/>
        <w:jc w:val="both"/>
        <w:rPr>
          <w:rFonts w:ascii="Times New Roman" w:hAnsi="Times New Roman" w:eastAsia="Times New Roman" w:cs="Times New Roman"/>
          <w:sz w:val="24"/>
          <w:szCs w:val="24"/>
        </w:rPr>
      </w:pPr>
      <w:r w:rsidRPr="2D7ABE1E" w:rsidR="2D7ABE1E">
        <w:rPr>
          <w:rFonts w:ascii="Calibri" w:hAnsi="Calibri" w:eastAsia="Calibri" w:cs="Calibri"/>
          <w:sz w:val="24"/>
          <w:szCs w:val="24"/>
        </w:rPr>
        <w:t>Under the ACA, health plans in the small group and individual market must comply with an annual out-of-pocket maximum for in-network expenses. In 201</w:t>
      </w:r>
      <w:r w:rsidRPr="2D7ABE1E" w:rsidR="2D7ABE1E">
        <w:rPr>
          <w:rFonts w:ascii="Calibri" w:hAnsi="Calibri" w:eastAsia="Calibri" w:cs="Calibri"/>
          <w:sz w:val="24"/>
          <w:szCs w:val="24"/>
        </w:rPr>
        <w:t>6</w:t>
      </w:r>
      <w:r w:rsidRPr="2D7ABE1E" w:rsidR="2D7ABE1E">
        <w:rPr>
          <w:rFonts w:ascii="Calibri" w:hAnsi="Calibri" w:eastAsia="Calibri" w:cs="Calibri"/>
          <w:sz w:val="24"/>
          <w:szCs w:val="24"/>
        </w:rPr>
        <w:t>, that amount is set at $6,</w:t>
      </w:r>
      <w:r w:rsidRPr="2D7ABE1E" w:rsidR="2D7ABE1E">
        <w:rPr>
          <w:rFonts w:ascii="Calibri" w:hAnsi="Calibri" w:eastAsia="Calibri" w:cs="Calibri"/>
          <w:sz w:val="24"/>
          <w:szCs w:val="24"/>
        </w:rPr>
        <w:t>850</w:t>
      </w:r>
      <w:r w:rsidRPr="2D7ABE1E" w:rsidR="2D7ABE1E">
        <w:rPr>
          <w:rFonts w:ascii="Calibri" w:hAnsi="Calibri" w:eastAsia="Calibri" w:cs="Calibri"/>
          <w:sz w:val="24"/>
          <w:szCs w:val="24"/>
        </w:rPr>
        <w:t xml:space="preserve"> for an individual and at $13,</w:t>
      </w:r>
      <w:r w:rsidRPr="2D7ABE1E" w:rsidR="2D7ABE1E">
        <w:rPr>
          <w:rFonts w:ascii="Calibri" w:hAnsi="Calibri" w:eastAsia="Calibri" w:cs="Calibri"/>
          <w:sz w:val="24"/>
          <w:szCs w:val="24"/>
        </w:rPr>
        <w:t>7</w:t>
      </w:r>
      <w:r w:rsidRPr="2D7ABE1E" w:rsidR="2D7ABE1E">
        <w:rPr>
          <w:rFonts w:ascii="Calibri" w:hAnsi="Calibri" w:eastAsia="Calibri" w:cs="Calibri"/>
          <w:sz w:val="24"/>
          <w:szCs w:val="24"/>
        </w:rPr>
        <w:t xml:space="preserve">00 for a family. This cap is intended to limit the total out-of-pockets costs that a patient can be required to </w:t>
      </w:r>
      <w:r w:rsidRPr="2D7ABE1E" w:rsidR="2D7ABE1E">
        <w:rPr>
          <w:rFonts w:ascii="Calibri" w:hAnsi="Calibri" w:eastAsia="Calibri" w:cs="Calibri"/>
          <w:sz w:val="24"/>
          <w:szCs w:val="24"/>
        </w:rPr>
        <w:t>pay</w:t>
      </w:r>
      <w:r w:rsidRPr="2D7ABE1E" w:rsidR="2D7ABE1E">
        <w:rPr>
          <w:rFonts w:ascii="Calibri" w:hAnsi="Calibri" w:eastAsia="Calibri" w:cs="Calibri"/>
          <w:sz w:val="24"/>
          <w:szCs w:val="24"/>
        </w:rPr>
        <w:t xml:space="preserve"> in the course of a single year. But an </w:t>
      </w:r>
      <w:r w:rsidRPr="2D7ABE1E" w:rsidR="2D7ABE1E">
        <w:rPr>
          <w:rFonts w:ascii="Calibri" w:hAnsi="Calibri" w:eastAsia="Calibri" w:cs="Calibri"/>
          <w:i w:val="1"/>
          <w:iCs w:val="1"/>
          <w:sz w:val="24"/>
          <w:szCs w:val="24"/>
        </w:rPr>
        <w:t>annual</w:t>
      </w:r>
      <w:r w:rsidRPr="2D7ABE1E" w:rsidR="2D7ABE1E">
        <w:rPr>
          <w:rFonts w:ascii="Calibri" w:hAnsi="Calibri" w:eastAsia="Calibri" w:cs="Calibri"/>
          <w:sz w:val="24"/>
          <w:szCs w:val="24"/>
        </w:rPr>
        <w:t xml:space="preserve"> maximum offers little value to a patient facing a </w:t>
      </w:r>
      <w:r w:rsidRPr="2D7ABE1E" w:rsidR="2D7ABE1E">
        <w:rPr>
          <w:rFonts w:ascii="Calibri" w:hAnsi="Calibri" w:eastAsia="Calibri" w:cs="Calibri"/>
          <w:i w:val="1"/>
          <w:iCs w:val="1"/>
          <w:sz w:val="24"/>
          <w:szCs w:val="24"/>
        </w:rPr>
        <w:t>monthly</w:t>
      </w:r>
      <w:r w:rsidRPr="2D7ABE1E" w:rsidR="2D7ABE1E">
        <w:rPr>
          <w:rFonts w:ascii="Calibri" w:hAnsi="Calibri" w:eastAsia="Calibri" w:cs="Calibri"/>
          <w:sz w:val="24"/>
          <w:szCs w:val="24"/>
        </w:rPr>
        <w:t xml:space="preserve"> financial hardship – for example, a $1,200 cost-share for one month’s supply of a single medication – which many patients encounter at the very start of their plan year. </w:t>
      </w:r>
    </w:p>
    <w:p w:rsidRPr="00E956E9" w:rsidR="00580440" w:rsidP="00580440" w:rsidRDefault="00580440" w14:paraId="433FCADC" w14:textId="77777777" w14:noSpellErr="1">
      <w:pPr>
        <w:numPr>
          <w:ilvl w:val="0"/>
          <w:numId w:val="4"/>
        </w:numPr>
        <w:autoSpaceDE w:val="0"/>
        <w:autoSpaceDN w:val="0"/>
        <w:adjustRightInd w:val="0"/>
        <w:spacing w:after="0" w:line="240" w:lineRule="auto"/>
        <w:rPr>
          <w:sz w:val="24"/>
          <w:szCs w:val="24"/>
        </w:rPr>
      </w:pPr>
      <w:r w:rsidRPr="2D7ABE1E" w:rsidR="2D7ABE1E">
        <w:rPr>
          <w:rFonts w:ascii="Calibri" w:hAnsi="Calibri" w:eastAsia="Calibri" w:cs="Calibri"/>
          <w:sz w:val="24"/>
          <w:szCs w:val="24"/>
        </w:rPr>
        <w:t>The value of the ACA’s out-of-pocket maximum is further limited by the fact that only</w:t>
      </w:r>
      <w:r w:rsidRPr="2D7ABE1E" w:rsidR="2D7ABE1E">
        <w:rPr>
          <w:rFonts w:ascii="Calibri" w:hAnsi="Calibri" w:eastAsia="Calibri" w:cs="Calibri"/>
          <w:sz w:val="24"/>
          <w:szCs w:val="24"/>
        </w:rPr>
        <w:t xml:space="preserve"> certain costs count toward </w:t>
      </w:r>
      <w:r w:rsidRPr="2D7ABE1E" w:rsidR="2D7ABE1E">
        <w:rPr>
          <w:rFonts w:ascii="Calibri" w:hAnsi="Calibri" w:eastAsia="Calibri" w:cs="Calibri"/>
          <w:sz w:val="24"/>
          <w:szCs w:val="24"/>
        </w:rPr>
        <w:t>the</w:t>
      </w:r>
      <w:r w:rsidRPr="2D7ABE1E" w:rsidR="2D7ABE1E">
        <w:rPr>
          <w:rFonts w:ascii="Calibri" w:hAnsi="Calibri" w:eastAsia="Calibri" w:cs="Calibri"/>
          <w:sz w:val="24"/>
          <w:szCs w:val="24"/>
        </w:rPr>
        <w:t xml:space="preserve"> maximum. </w:t>
      </w:r>
      <w:r w:rsidRPr="2D7ABE1E" w:rsidR="2D7ABE1E">
        <w:rPr>
          <w:rFonts w:ascii="Calibri" w:hAnsi="Calibri" w:eastAsia="Calibri" w:cs="Calibri"/>
          <w:sz w:val="24"/>
          <w:szCs w:val="24"/>
        </w:rPr>
        <w:t>There is no ceiling limiting the accumulation of any other costs. Further, g</w:t>
      </w:r>
      <w:r w:rsidRPr="2D7ABE1E" w:rsidR="2D7ABE1E">
        <w:rPr>
          <w:rFonts w:ascii="Calibri" w:hAnsi="Calibri" w:eastAsia="Calibri" w:cs="Calibri"/>
          <w:sz w:val="24"/>
          <w:szCs w:val="24"/>
        </w:rPr>
        <w:t>randfathered health plans (those in existence before March 23, 2010) do not have to comply with the</w:t>
      </w:r>
      <w:r w:rsidRPr="2D7ABE1E" w:rsidR="2D7ABE1E">
        <w:rPr>
          <w:rFonts w:ascii="Calibri" w:hAnsi="Calibri" w:eastAsia="Calibri" w:cs="Calibri"/>
          <w:sz w:val="24"/>
          <w:szCs w:val="24"/>
        </w:rPr>
        <w:t xml:space="preserve"> ACA’s cost-sharing limitations. Bottom line: </w:t>
      </w:r>
      <w:r w:rsidRPr="2D7ABE1E" w:rsidR="2D7ABE1E">
        <w:rPr>
          <w:rFonts w:ascii="Calibri" w:hAnsi="Calibri" w:eastAsia="Calibri" w:cs="Calibri"/>
          <w:sz w:val="24"/>
          <w:szCs w:val="24"/>
        </w:rPr>
        <w:t xml:space="preserve">despite the ACA, </w:t>
      </w:r>
      <w:r w:rsidRPr="2D7ABE1E" w:rsidR="2D7ABE1E">
        <w:rPr>
          <w:rFonts w:ascii="Calibri" w:hAnsi="Calibri" w:eastAsia="Calibri" w:cs="Calibri"/>
          <w:sz w:val="24"/>
          <w:szCs w:val="24"/>
        </w:rPr>
        <w:t xml:space="preserve">many patients and their families may continue to face serious financial strain as a result of the cost of their care. </w:t>
      </w:r>
    </w:p>
    <w:p w:rsidRPr="00E956E9" w:rsidR="00580440" w:rsidP="00580440" w:rsidRDefault="00580440" w14:paraId="57470519" w14:textId="77777777">
      <w:pPr>
        <w:autoSpaceDE w:val="0"/>
        <w:autoSpaceDN w:val="0"/>
        <w:adjustRightInd w:val="0"/>
        <w:spacing w:after="0" w:line="240" w:lineRule="auto"/>
        <w:ind w:left="360"/>
        <w:rPr>
          <w:sz w:val="24"/>
          <w:szCs w:val="24"/>
        </w:rPr>
      </w:pPr>
    </w:p>
    <w:p w:rsidR="00543B93" w:rsidP="00543B93" w:rsidRDefault="00D55E56" w14:paraId="5BF43354" w14:textId="77777777" w14:noSpellErr="1">
      <w:pPr>
        <w:pStyle w:val="PlainText"/>
        <w:rPr>
          <w:rFonts w:asciiTheme="minorHAnsi" w:hAnsiTheme="minorHAnsi"/>
          <w:b/>
          <w:sz w:val="24"/>
          <w:szCs w:val="24"/>
        </w:rPr>
      </w:pPr>
      <w:r w:rsidRPr="2D7ABE1E" w:rsidR="2D7ABE1E">
        <w:rPr>
          <w:rFonts w:ascii="Calibri" w:hAnsi="Calibri" w:eastAsia="Calibri" w:cs="Calibri"/>
          <w:b w:val="1"/>
          <w:bCs w:val="1"/>
          <w:sz w:val="24"/>
          <w:szCs w:val="24"/>
        </w:rPr>
        <w:t>“</w:t>
      </w:r>
      <w:r w:rsidRPr="2D7ABE1E" w:rsidR="2D7ABE1E">
        <w:rPr>
          <w:rFonts w:ascii="Calibri" w:hAnsi="Calibri" w:eastAsia="Calibri" w:cs="Calibri"/>
          <w:b w:val="1"/>
          <w:bCs w:val="1"/>
          <w:sz w:val="24"/>
          <w:szCs w:val="24"/>
        </w:rPr>
        <w:t>Decreasing the cost-share</w:t>
      </w:r>
      <w:r w:rsidRPr="2D7ABE1E" w:rsidR="2D7ABE1E">
        <w:rPr>
          <w:rFonts w:ascii="Calibri" w:hAnsi="Calibri" w:eastAsia="Calibri" w:cs="Calibri"/>
          <w:b w:val="1"/>
          <w:bCs w:val="1"/>
          <w:sz w:val="24"/>
          <w:szCs w:val="24"/>
        </w:rPr>
        <w:t xml:space="preserve"> for oral therapies will </w:t>
      </w:r>
      <w:r w:rsidRPr="2D7ABE1E" w:rsidR="2D7ABE1E">
        <w:rPr>
          <w:rFonts w:ascii="Calibri" w:hAnsi="Calibri" w:eastAsia="Calibri" w:cs="Calibri"/>
          <w:b w:val="1"/>
          <w:bCs w:val="1"/>
          <w:sz w:val="24"/>
          <w:szCs w:val="24"/>
        </w:rPr>
        <w:t>force an</w:t>
      </w:r>
      <w:r w:rsidRPr="2D7ABE1E" w:rsidR="2D7ABE1E">
        <w:rPr>
          <w:rFonts w:ascii="Calibri" w:hAnsi="Calibri" w:eastAsia="Calibri" w:cs="Calibri"/>
          <w:b w:val="1"/>
          <w:bCs w:val="1"/>
          <w:sz w:val="24"/>
          <w:szCs w:val="24"/>
        </w:rPr>
        <w:t xml:space="preserve"> increase </w:t>
      </w:r>
      <w:r w:rsidRPr="2D7ABE1E" w:rsidR="2D7ABE1E">
        <w:rPr>
          <w:rFonts w:ascii="Calibri" w:hAnsi="Calibri" w:eastAsia="Calibri" w:cs="Calibri"/>
          <w:b w:val="1"/>
          <w:bCs w:val="1"/>
          <w:sz w:val="24"/>
          <w:szCs w:val="24"/>
        </w:rPr>
        <w:t>in the</w:t>
      </w:r>
      <w:r w:rsidRPr="2D7ABE1E" w:rsidR="2D7ABE1E">
        <w:rPr>
          <w:rFonts w:ascii="Calibri" w:hAnsi="Calibri" w:eastAsia="Calibri" w:cs="Calibri"/>
          <w:b w:val="1"/>
          <w:bCs w:val="1"/>
          <w:sz w:val="24"/>
          <w:szCs w:val="24"/>
        </w:rPr>
        <w:t xml:space="preserve"> c</w:t>
      </w:r>
      <w:r w:rsidRPr="2D7ABE1E" w:rsidR="2D7ABE1E">
        <w:rPr>
          <w:rFonts w:ascii="Calibri" w:hAnsi="Calibri" w:eastAsia="Calibri" w:cs="Calibri"/>
          <w:b w:val="1"/>
          <w:bCs w:val="1"/>
          <w:sz w:val="24"/>
          <w:szCs w:val="24"/>
        </w:rPr>
        <w:t>ost-share for a different benefit or service covered by</w:t>
      </w:r>
      <w:r w:rsidRPr="2D7ABE1E" w:rsidR="2D7ABE1E">
        <w:rPr>
          <w:rFonts w:ascii="Calibri" w:hAnsi="Calibri" w:eastAsia="Calibri" w:cs="Calibri"/>
          <w:b w:val="1"/>
          <w:bCs w:val="1"/>
          <w:sz w:val="24"/>
          <w:szCs w:val="24"/>
        </w:rPr>
        <w:t xml:space="preserve"> </w:t>
      </w:r>
      <w:r w:rsidRPr="2D7ABE1E" w:rsidR="2D7ABE1E">
        <w:rPr>
          <w:rFonts w:ascii="Calibri" w:hAnsi="Calibri" w:eastAsia="Calibri" w:cs="Calibri"/>
          <w:b w:val="1"/>
          <w:bCs w:val="1"/>
          <w:sz w:val="24"/>
          <w:szCs w:val="24"/>
        </w:rPr>
        <w:t xml:space="preserve">the plan, </w:t>
      </w:r>
      <w:r w:rsidRPr="2D7ABE1E" w:rsidR="2D7ABE1E">
        <w:rPr>
          <w:rFonts w:ascii="Calibri" w:hAnsi="Calibri" w:eastAsia="Calibri" w:cs="Calibri"/>
          <w:b w:val="1"/>
          <w:bCs w:val="1"/>
          <w:sz w:val="24"/>
          <w:szCs w:val="24"/>
        </w:rPr>
        <w:t xml:space="preserve">in order for the plan </w:t>
      </w:r>
      <w:r w:rsidRPr="2D7ABE1E" w:rsidR="2D7ABE1E">
        <w:rPr>
          <w:rFonts w:ascii="Calibri" w:hAnsi="Calibri" w:eastAsia="Calibri" w:cs="Calibri"/>
          <w:b w:val="1"/>
          <w:bCs w:val="1"/>
          <w:sz w:val="24"/>
          <w:szCs w:val="24"/>
        </w:rPr>
        <w:t xml:space="preserve">to </w:t>
      </w:r>
      <w:r w:rsidRPr="2D7ABE1E" w:rsidR="2D7ABE1E">
        <w:rPr>
          <w:rFonts w:ascii="Calibri" w:hAnsi="Calibri" w:eastAsia="Calibri" w:cs="Calibri"/>
          <w:b w:val="1"/>
          <w:bCs w:val="1"/>
          <w:sz w:val="24"/>
          <w:szCs w:val="24"/>
        </w:rPr>
        <w:t>satisfy</w:t>
      </w:r>
      <w:r w:rsidRPr="2D7ABE1E" w:rsidR="2D7ABE1E">
        <w:rPr>
          <w:rFonts w:ascii="Calibri" w:hAnsi="Calibri" w:eastAsia="Calibri" w:cs="Calibri"/>
          <w:b w:val="1"/>
          <w:bCs w:val="1"/>
          <w:sz w:val="24"/>
          <w:szCs w:val="24"/>
        </w:rPr>
        <w:t xml:space="preserve"> actuarial value</w:t>
      </w:r>
      <w:r w:rsidRPr="2D7ABE1E" w:rsidR="2D7ABE1E">
        <w:rPr>
          <w:rFonts w:ascii="Calibri" w:hAnsi="Calibri" w:eastAsia="Calibri" w:cs="Calibri"/>
          <w:b w:val="1"/>
          <w:bCs w:val="1"/>
          <w:sz w:val="24"/>
          <w:szCs w:val="24"/>
        </w:rPr>
        <w:t xml:space="preserve"> (AV) requirements and avoid increases in premium</w:t>
      </w:r>
      <w:r w:rsidRPr="2D7ABE1E" w:rsidR="2D7ABE1E">
        <w:rPr>
          <w:rFonts w:ascii="Calibri" w:hAnsi="Calibri" w:eastAsia="Calibri" w:cs="Calibri"/>
          <w:b w:val="1"/>
          <w:bCs w:val="1"/>
          <w:sz w:val="24"/>
          <w:szCs w:val="24"/>
        </w:rPr>
        <w:t>s</w:t>
      </w:r>
      <w:r w:rsidRPr="2D7ABE1E" w:rsidR="2D7ABE1E">
        <w:rPr>
          <w:rFonts w:ascii="Calibri" w:hAnsi="Calibri" w:eastAsia="Calibri" w:cs="Calibri"/>
          <w:b w:val="1"/>
          <w:bCs w:val="1"/>
          <w:sz w:val="24"/>
          <w:szCs w:val="24"/>
        </w:rPr>
        <w:t>.”</w:t>
      </w:r>
    </w:p>
    <w:p w:rsidR="00543B93" w:rsidP="00543B93" w:rsidRDefault="00543B93" w14:paraId="4E29BAEC" w14:textId="77777777">
      <w:pPr>
        <w:pStyle w:val="PlainText"/>
        <w:rPr>
          <w:rFonts w:asciiTheme="minorHAnsi" w:hAnsiTheme="minorHAnsi"/>
          <w:b/>
          <w:sz w:val="24"/>
          <w:szCs w:val="24"/>
        </w:rPr>
      </w:pPr>
    </w:p>
    <w:p w:rsidRPr="00D55E56" w:rsidR="00D55E56" w:rsidP="2D7ABE1E" w:rsidRDefault="004F7BDA" w14:paraId="3D5D43C7" w14:textId="77777777" w14:noSpellErr="1">
      <w:pPr>
        <w:pStyle w:val="ListParagraph"/>
        <w:numPr>
          <w:ilvl w:val="0"/>
          <w:numId w:val="27"/>
        </w:numPr>
        <w:spacing w:after="0" w:afterAutospacing="off" w:line="240" w:lineRule="auto"/>
        <w:rPr/>
      </w:pPr>
      <w:r w:rsidRPr="2D7ABE1E">
        <w:rPr>
          <w:rFonts w:ascii="Calibri" w:hAnsi="Calibri" w:eastAsia="Calibri" w:cs="Calibri"/>
          <w:sz w:val="24"/>
          <w:szCs w:val="24"/>
        </w:rPr>
        <w:t>Relative to the total number of covered lives, cancer patients are a</w:t>
      </w:r>
      <w:r w:rsidRPr="2D7ABE1E" w:rsidR="00543B93">
        <w:rPr>
          <w:rFonts w:ascii="Calibri" w:hAnsi="Calibri" w:eastAsia="Calibri" w:cs="Calibri"/>
          <w:sz w:val="24"/>
          <w:szCs w:val="24"/>
        </w:rPr>
        <w:t xml:space="preserve"> statistically small population</w:t>
      </w:r>
      <w:r w:rsidRPr="2D7ABE1E" w:rsidR="00D55E56">
        <w:rPr>
          <w:rFonts w:ascii="Calibri" w:hAnsi="Calibri" w:eastAsia="Calibri" w:cs="Calibri"/>
          <w:sz w:val="24"/>
          <w:szCs w:val="24"/>
        </w:rPr>
        <w:t>. For that reason, spending on cancer medicines – including both IV</w:t>
      </w:r>
      <w:r w:rsidRPr="2D7ABE1E" w:rsidR="00031172">
        <w:rPr>
          <w:rFonts w:ascii="Calibri" w:hAnsi="Calibri" w:eastAsia="Calibri" w:cs="Calibri"/>
          <w:sz w:val="24"/>
          <w:szCs w:val="24"/>
        </w:rPr>
        <w:t>s</w:t>
      </w:r>
      <w:r w:rsidRPr="2D7ABE1E" w:rsidR="00D55E56">
        <w:rPr>
          <w:rFonts w:ascii="Calibri" w:hAnsi="Calibri" w:eastAsia="Calibri" w:cs="Calibri"/>
          <w:sz w:val="24"/>
          <w:szCs w:val="24"/>
        </w:rPr>
        <w:t xml:space="preserve"> and orals – represents less than 1% of overall health care spending</w:t>
      </w:r>
      <w:r w:rsidRPr="2D7ABE1E" w:rsidR="009A4BD5">
        <w:rPr>
          <w:rStyle w:val="EndnoteReference"/>
          <w:rFonts w:ascii="Calibri" w:hAnsi="Calibri" w:eastAsia="Calibri" w:cs="Calibri"/>
          <w:sz w:val="24"/>
          <w:szCs w:val="24"/>
        </w:rPr>
        <w:endnoteReference w:id="3"/>
      </w:r>
      <w:r w:rsidRPr="2D7ABE1E" w:rsidR="00D55E56">
        <w:rPr>
          <w:rFonts w:ascii="Calibri" w:hAnsi="Calibri" w:eastAsia="Calibri" w:cs="Calibri"/>
          <w:sz w:val="24"/>
          <w:szCs w:val="24"/>
        </w:rPr>
        <w:t xml:space="preserve">. </w:t>
      </w:r>
      <w:r w:rsidRPr="2D7ABE1E" w:rsidR="00031172">
        <w:rPr>
          <w:rFonts w:ascii="Calibri" w:hAnsi="Calibri" w:eastAsia="Calibri" w:cs="Calibri"/>
          <w:sz w:val="24"/>
          <w:szCs w:val="24"/>
        </w:rPr>
        <w:t>Of</w:t>
      </w:r>
      <w:r w:rsidRPr="2D7ABE1E" w:rsidR="00543B93">
        <w:rPr>
          <w:rFonts w:ascii="Calibri" w:hAnsi="Calibri" w:eastAsia="Calibri" w:cs="Calibri"/>
          <w:sz w:val="24"/>
          <w:szCs w:val="24"/>
        </w:rPr>
        <w:t xml:space="preserve"> that </w:t>
      </w:r>
      <w:r w:rsidRPr="2D7ABE1E" w:rsidR="00D55E56">
        <w:rPr>
          <w:rFonts w:ascii="Calibri" w:hAnsi="Calibri" w:eastAsia="Calibri" w:cs="Calibri"/>
          <w:sz w:val="24"/>
          <w:szCs w:val="24"/>
        </w:rPr>
        <w:t>amount, a fraction applies to</w:t>
      </w:r>
      <w:r w:rsidRPr="2D7ABE1E" w:rsidR="00543B93">
        <w:rPr>
          <w:rFonts w:ascii="Calibri" w:hAnsi="Calibri" w:eastAsia="Calibri" w:cs="Calibri"/>
          <w:sz w:val="24"/>
          <w:szCs w:val="24"/>
        </w:rPr>
        <w:t xml:space="preserve"> </w:t>
      </w:r>
      <w:r w:rsidRPr="2D7ABE1E" w:rsidR="00423B79">
        <w:rPr>
          <w:rFonts w:ascii="Calibri" w:hAnsi="Calibri" w:eastAsia="Calibri" w:cs="Calibri"/>
          <w:sz w:val="24"/>
          <w:szCs w:val="24"/>
        </w:rPr>
        <w:t xml:space="preserve">oral </w:t>
      </w:r>
      <w:r w:rsidRPr="2D7ABE1E" w:rsidR="00543B93">
        <w:rPr>
          <w:rFonts w:ascii="Calibri" w:hAnsi="Calibri" w:eastAsia="Calibri" w:cs="Calibri"/>
          <w:sz w:val="24"/>
          <w:szCs w:val="24"/>
        </w:rPr>
        <w:t>therap</w:t>
      </w:r>
      <w:r w:rsidRPr="2D7ABE1E" w:rsidR="00D55E56">
        <w:rPr>
          <w:rFonts w:ascii="Calibri" w:hAnsi="Calibri" w:eastAsia="Calibri" w:cs="Calibri"/>
          <w:sz w:val="24"/>
          <w:szCs w:val="24"/>
        </w:rPr>
        <w:t>ies</w:t>
      </w:r>
      <w:r w:rsidRPr="2D7ABE1E" w:rsidR="00543B93">
        <w:rPr>
          <w:rFonts w:ascii="Calibri" w:hAnsi="Calibri" w:eastAsia="Calibri" w:cs="Calibri"/>
          <w:sz w:val="24"/>
          <w:szCs w:val="24"/>
        </w:rPr>
        <w:t xml:space="preserve">. </w:t>
      </w:r>
    </w:p>
    <w:p w:rsidRPr="00D55E56" w:rsidR="00543B93" w:rsidP="2D7ABE1E" w:rsidRDefault="00543B93" w14:paraId="1FBA8918" w14:textId="77777777" w14:noSpellErr="1">
      <w:pPr>
        <w:pStyle w:val="ListParagraph"/>
        <w:numPr>
          <w:ilvl w:val="0"/>
          <w:numId w:val="19"/>
        </w:numPr>
        <w:autoSpaceDE w:val="0"/>
        <w:autoSpaceDN w:val="0"/>
        <w:adjustRightInd w:val="0"/>
        <w:spacing w:after="0" w:afterAutospacing="off" w:line="240" w:lineRule="auto"/>
        <w:contextualSpacing w:val="0"/>
        <w:rPr>
          <w:rFonts w:ascii="Times New Roman" w:hAnsi="Times New Roman" w:eastAsia="Times New Roman" w:cs="Times New Roman"/>
          <w:sz w:val="24"/>
          <w:szCs w:val="24"/>
        </w:rPr>
      </w:pPr>
      <w:r w:rsidRPr="2D7ABE1E" w:rsidR="2D7ABE1E">
        <w:rPr>
          <w:rFonts w:ascii="Calibri" w:hAnsi="Calibri" w:eastAsia="Calibri" w:cs="Calibri"/>
          <w:sz w:val="24"/>
          <w:szCs w:val="24"/>
        </w:rPr>
        <w:t xml:space="preserve">This low utilization of oral anticancer therapies – relative to the utilization of other covered benefits and services – means that </w:t>
      </w:r>
      <w:r w:rsidRPr="2D7ABE1E" w:rsidR="2D7ABE1E">
        <w:rPr>
          <w:rFonts w:ascii="Calibri" w:hAnsi="Calibri" w:eastAsia="Calibri" w:cs="Calibri"/>
          <w:sz w:val="24"/>
          <w:szCs w:val="24"/>
        </w:rPr>
        <w:t>parity</w:t>
      </w:r>
      <w:r w:rsidRPr="2D7ABE1E" w:rsidR="2D7ABE1E">
        <w:rPr>
          <w:rFonts w:ascii="Calibri" w:hAnsi="Calibri" w:eastAsia="Calibri" w:cs="Calibri"/>
          <w:sz w:val="24"/>
          <w:szCs w:val="24"/>
        </w:rPr>
        <w:t xml:space="preserve"> will not trigger any significant increase in either AV or premiums. </w:t>
      </w:r>
      <w:r w:rsidRPr="2D7ABE1E" w:rsidR="2D7ABE1E">
        <w:rPr>
          <w:rFonts w:ascii="Calibri" w:hAnsi="Calibri" w:eastAsia="Calibri" w:cs="Calibri"/>
          <w:sz w:val="24"/>
          <w:szCs w:val="24"/>
        </w:rPr>
        <w:t>This can be observed in the</w:t>
      </w:r>
      <w:r w:rsidRPr="2D7ABE1E" w:rsidR="2D7ABE1E">
        <w:rPr>
          <w:rFonts w:ascii="Calibri" w:hAnsi="Calibri" w:eastAsia="Calibri" w:cs="Calibri"/>
          <w:sz w:val="24"/>
          <w:szCs w:val="24"/>
        </w:rPr>
        <w:t xml:space="preserve"> </w:t>
      </w:r>
      <w:r w:rsidRPr="2D7ABE1E" w:rsidR="2D7ABE1E">
        <w:rPr>
          <w:rFonts w:ascii="Calibri" w:hAnsi="Calibri" w:eastAsia="Calibri" w:cs="Calibri"/>
          <w:sz w:val="24"/>
          <w:szCs w:val="24"/>
        </w:rPr>
        <w:t>forty</w:t>
      </w:r>
      <w:r w:rsidRPr="2D7ABE1E" w:rsidR="2D7ABE1E">
        <w:rPr>
          <w:rFonts w:ascii="Calibri" w:hAnsi="Calibri" w:eastAsia="Calibri" w:cs="Calibri"/>
          <w:sz w:val="24"/>
          <w:szCs w:val="24"/>
        </w:rPr>
        <w:t xml:space="preserve"> states </w:t>
      </w:r>
      <w:r w:rsidRPr="2D7ABE1E" w:rsidR="2D7ABE1E">
        <w:rPr>
          <w:rFonts w:ascii="Calibri" w:hAnsi="Calibri" w:eastAsia="Calibri" w:cs="Calibri"/>
          <w:sz w:val="24"/>
          <w:szCs w:val="24"/>
        </w:rPr>
        <w:t>(</w:t>
      </w:r>
      <w:r w:rsidRPr="2D7ABE1E" w:rsidR="2D7ABE1E">
        <w:rPr>
          <w:rFonts w:ascii="Calibri" w:hAnsi="Calibri" w:eastAsia="Calibri" w:cs="Calibri"/>
          <w:sz w:val="24"/>
          <w:szCs w:val="24"/>
        </w:rPr>
        <w:t>plus the District of Columbia</w:t>
      </w:r>
      <w:r w:rsidRPr="2D7ABE1E" w:rsidR="2D7ABE1E">
        <w:rPr>
          <w:rFonts w:ascii="Calibri" w:hAnsi="Calibri" w:eastAsia="Calibri" w:cs="Calibri"/>
          <w:sz w:val="24"/>
          <w:szCs w:val="24"/>
        </w:rPr>
        <w:t xml:space="preserve">) </w:t>
      </w:r>
      <w:r w:rsidRPr="2D7ABE1E" w:rsidR="2D7ABE1E">
        <w:rPr>
          <w:rFonts w:ascii="Calibri" w:hAnsi="Calibri" w:eastAsia="Calibri" w:cs="Calibri"/>
          <w:sz w:val="24"/>
          <w:szCs w:val="24"/>
        </w:rPr>
        <w:t xml:space="preserve">where </w:t>
      </w:r>
      <w:r w:rsidRPr="2D7ABE1E" w:rsidR="2D7ABE1E">
        <w:rPr>
          <w:rFonts w:ascii="Calibri" w:hAnsi="Calibri" w:eastAsia="Calibri" w:cs="Calibri"/>
          <w:sz w:val="24"/>
          <w:szCs w:val="24"/>
        </w:rPr>
        <w:t>parity bills have been enacted: n</w:t>
      </w:r>
      <w:r w:rsidRPr="2D7ABE1E" w:rsidR="2D7ABE1E">
        <w:rPr>
          <w:rFonts w:ascii="Calibri" w:hAnsi="Calibri" w:eastAsia="Calibri" w:cs="Calibri"/>
          <w:sz w:val="24"/>
          <w:szCs w:val="24"/>
        </w:rPr>
        <w:t xml:space="preserve">one of these states have documented a </w:t>
      </w:r>
      <w:r w:rsidRPr="2D7ABE1E" w:rsidR="2D7ABE1E">
        <w:rPr>
          <w:rFonts w:ascii="Calibri" w:hAnsi="Calibri" w:eastAsia="Calibri" w:cs="Calibri"/>
          <w:sz w:val="24"/>
          <w:szCs w:val="24"/>
        </w:rPr>
        <w:t xml:space="preserve">statistically </w:t>
      </w:r>
      <w:r w:rsidRPr="2D7ABE1E" w:rsidR="2D7ABE1E">
        <w:rPr>
          <w:rFonts w:ascii="Calibri" w:hAnsi="Calibri" w:eastAsia="Calibri" w:cs="Calibri"/>
          <w:sz w:val="24"/>
          <w:szCs w:val="24"/>
        </w:rPr>
        <w:t xml:space="preserve">significant increase in premiums as a result of </w:t>
      </w:r>
      <w:r w:rsidRPr="2D7ABE1E" w:rsidR="2D7ABE1E">
        <w:rPr>
          <w:rFonts w:ascii="Calibri" w:hAnsi="Calibri" w:eastAsia="Calibri" w:cs="Calibri"/>
          <w:sz w:val="24"/>
          <w:szCs w:val="24"/>
        </w:rPr>
        <w:t xml:space="preserve">these </w:t>
      </w:r>
      <w:r w:rsidRPr="2D7ABE1E" w:rsidR="2D7ABE1E">
        <w:rPr>
          <w:rFonts w:ascii="Calibri" w:hAnsi="Calibri" w:eastAsia="Calibri" w:cs="Calibri"/>
          <w:sz w:val="24"/>
          <w:szCs w:val="24"/>
        </w:rPr>
        <w:t>laws</w:t>
      </w:r>
      <w:r w:rsidRPr="2D7ABE1E" w:rsidR="2D7ABE1E">
        <w:rPr>
          <w:rFonts w:ascii="Calibri" w:hAnsi="Calibri" w:eastAsia="Calibri" w:cs="Calibri"/>
          <w:sz w:val="24"/>
          <w:szCs w:val="24"/>
        </w:rPr>
        <w:t>.</w:t>
      </w:r>
      <w:r w:rsidRPr="2D7ABE1E" w:rsidR="2D7ABE1E">
        <w:rPr>
          <w:rFonts w:ascii="Calibri" w:hAnsi="Calibri" w:eastAsia="Calibri" w:cs="Calibri"/>
          <w:sz w:val="24"/>
          <w:szCs w:val="24"/>
        </w:rPr>
        <w:t xml:space="preserve"> </w:t>
      </w:r>
      <w:r w:rsidRPr="2D7ABE1E" w:rsidR="2D7ABE1E">
        <w:rPr>
          <w:rFonts w:ascii="Calibri" w:hAnsi="Calibri" w:eastAsia="Calibri" w:cs="Calibri"/>
          <w:sz w:val="24"/>
          <w:szCs w:val="24"/>
        </w:rPr>
        <w:t xml:space="preserve"> </w:t>
      </w:r>
    </w:p>
    <w:p w:rsidR="00ED3FF5" w:rsidP="00ED3FF5" w:rsidRDefault="00ED3FF5" w14:paraId="42CA9C82" w14:textId="77777777">
      <w:pPr>
        <w:tabs>
          <w:tab w:val="left" w:pos="0"/>
        </w:tabs>
        <w:autoSpaceDE w:val="0"/>
        <w:autoSpaceDN w:val="0"/>
        <w:adjustRightInd w:val="0"/>
        <w:spacing w:after="0" w:line="240" w:lineRule="auto"/>
        <w:rPr>
          <w:rFonts w:eastAsia="Times New Roman"/>
          <w:sz w:val="24"/>
          <w:szCs w:val="24"/>
        </w:rPr>
      </w:pPr>
    </w:p>
    <w:p w:rsidR="00ED3FF5" w:rsidP="00ED3FF5" w:rsidRDefault="00D55E56" w14:paraId="3A804736" w14:textId="77777777" w14:noSpellErr="1">
      <w:pPr>
        <w:tabs>
          <w:tab w:val="left" w:pos="0"/>
        </w:tabs>
        <w:autoSpaceDE w:val="0"/>
        <w:autoSpaceDN w:val="0"/>
        <w:adjustRightInd w:val="0"/>
        <w:spacing w:after="0" w:line="240" w:lineRule="auto"/>
        <w:rPr>
          <w:rFonts w:eastAsia="Times New Roman"/>
          <w:b/>
          <w:sz w:val="24"/>
          <w:szCs w:val="24"/>
        </w:rPr>
      </w:pPr>
      <w:r w:rsidRPr="2D7ABE1E" w:rsidR="2D7ABE1E">
        <w:rPr>
          <w:rFonts w:ascii="Calibri" w:hAnsi="Calibri" w:eastAsia="Calibri" w:cs="Calibri"/>
          <w:b w:val="1"/>
          <w:bCs w:val="1"/>
          <w:sz w:val="24"/>
          <w:szCs w:val="24"/>
        </w:rPr>
        <w:t>“</w:t>
      </w:r>
      <w:r w:rsidRPr="2D7ABE1E" w:rsidR="2D7ABE1E">
        <w:rPr>
          <w:rFonts w:ascii="Calibri" w:hAnsi="Calibri" w:eastAsia="Calibri" w:cs="Calibri"/>
          <w:b w:val="1"/>
          <w:bCs w:val="1"/>
          <w:sz w:val="24"/>
          <w:szCs w:val="24"/>
        </w:rPr>
        <w:t xml:space="preserve">Implementing </w:t>
      </w:r>
      <w:r w:rsidRPr="2D7ABE1E" w:rsidR="2D7ABE1E">
        <w:rPr>
          <w:rFonts w:ascii="Calibri" w:hAnsi="Calibri" w:eastAsia="Calibri" w:cs="Calibri"/>
          <w:b w:val="1"/>
          <w:bCs w:val="1"/>
          <w:sz w:val="24"/>
          <w:szCs w:val="24"/>
        </w:rPr>
        <w:t>parity</w:t>
      </w:r>
      <w:r w:rsidRPr="2D7ABE1E" w:rsidR="2D7ABE1E">
        <w:rPr>
          <w:rFonts w:ascii="Calibri" w:hAnsi="Calibri" w:eastAsia="Calibri" w:cs="Calibri"/>
          <w:b w:val="1"/>
          <w:bCs w:val="1"/>
          <w:sz w:val="24"/>
          <w:szCs w:val="24"/>
        </w:rPr>
        <w:t xml:space="preserve"> means forcing all policyholders to absorb the cost of cancer treatment</w:t>
      </w:r>
      <w:r w:rsidRPr="2D7ABE1E" w:rsidR="2D7ABE1E">
        <w:rPr>
          <w:rFonts w:ascii="Calibri" w:hAnsi="Calibri" w:eastAsia="Calibri" w:cs="Calibri"/>
          <w:b w:val="1"/>
          <w:bCs w:val="1"/>
          <w:sz w:val="24"/>
          <w:szCs w:val="24"/>
        </w:rPr>
        <w:t xml:space="preserve">. It’s not fair that cancer patients should receive </w:t>
      </w:r>
      <w:r w:rsidRPr="2D7ABE1E" w:rsidR="2D7ABE1E">
        <w:rPr>
          <w:rFonts w:ascii="Calibri" w:hAnsi="Calibri" w:eastAsia="Calibri" w:cs="Calibri"/>
          <w:b w:val="1"/>
          <w:bCs w:val="1"/>
          <w:sz w:val="24"/>
          <w:szCs w:val="24"/>
        </w:rPr>
        <w:t>preferential</w:t>
      </w:r>
      <w:r w:rsidRPr="2D7ABE1E" w:rsidR="2D7ABE1E">
        <w:rPr>
          <w:rFonts w:ascii="Calibri" w:hAnsi="Calibri" w:eastAsia="Calibri" w:cs="Calibri"/>
          <w:b w:val="1"/>
          <w:bCs w:val="1"/>
          <w:sz w:val="24"/>
          <w:szCs w:val="24"/>
        </w:rPr>
        <w:t xml:space="preserve"> treatment.”</w:t>
      </w:r>
    </w:p>
    <w:p w:rsidRPr="00ED3FF5" w:rsidR="00ED3FF5" w:rsidP="00ED3FF5" w:rsidRDefault="00ED3FF5" w14:paraId="600CE251" w14:textId="77777777">
      <w:pPr>
        <w:tabs>
          <w:tab w:val="left" w:pos="0"/>
        </w:tabs>
        <w:autoSpaceDE w:val="0"/>
        <w:autoSpaceDN w:val="0"/>
        <w:adjustRightInd w:val="0"/>
        <w:spacing w:after="0" w:line="240" w:lineRule="auto"/>
        <w:rPr>
          <w:rFonts w:eastAsia="Times New Roman"/>
          <w:b/>
          <w:sz w:val="24"/>
          <w:szCs w:val="24"/>
        </w:rPr>
      </w:pPr>
    </w:p>
    <w:p w:rsidRPr="00ED3FF5" w:rsidR="00ED3FF5" w:rsidP="2D7ABE1E" w:rsidRDefault="00ED3FF5" w14:paraId="6393915A" w14:textId="77777777" w14:noSpellErr="1">
      <w:pPr>
        <w:pStyle w:val="PlainText"/>
        <w:numPr>
          <w:ilvl w:val="0"/>
          <w:numId w:val="12"/>
        </w:numPr>
        <w:rPr>
          <w:rFonts w:ascii="Calibri" w:hAnsi="Calibri" w:eastAsia="Calibri" w:cs="Calibri" w:asciiTheme="minorAscii" w:hAnsiTheme="minorAscii" w:eastAsiaTheme="minorAscii" w:cstheme="minorAscii"/>
          <w:sz w:val="24"/>
          <w:szCs w:val="24"/>
        </w:rPr>
      </w:pPr>
      <w:r w:rsidRPr="2D7ABE1E" w:rsidR="2D7ABE1E">
        <w:rPr>
          <w:rFonts w:ascii="Calibri" w:hAnsi="Calibri" w:eastAsia="Calibri" w:cs="Calibri"/>
          <w:sz w:val="24"/>
          <w:szCs w:val="24"/>
        </w:rPr>
        <w:t xml:space="preserve">This policy change will not trigger a significant increase in </w:t>
      </w:r>
      <w:r w:rsidRPr="2D7ABE1E" w:rsidR="2D7ABE1E">
        <w:rPr>
          <w:rFonts w:ascii="Calibri" w:hAnsi="Calibri" w:eastAsia="Calibri" w:cs="Calibri"/>
          <w:sz w:val="24"/>
          <w:szCs w:val="24"/>
        </w:rPr>
        <w:t>costs for the average plan or consumer, given the relatively</w:t>
      </w:r>
      <w:r w:rsidRPr="2D7ABE1E" w:rsidR="2D7ABE1E">
        <w:rPr>
          <w:rFonts w:ascii="Calibri" w:hAnsi="Calibri" w:eastAsia="Calibri" w:cs="Calibri"/>
          <w:sz w:val="24"/>
          <w:szCs w:val="24"/>
        </w:rPr>
        <w:t xml:space="preserve"> low utilization</w:t>
      </w:r>
      <w:r w:rsidRPr="2D7ABE1E" w:rsidR="2D7ABE1E">
        <w:rPr>
          <w:rFonts w:ascii="Calibri" w:hAnsi="Calibri" w:eastAsia="Calibri" w:cs="Calibri"/>
          <w:sz w:val="24"/>
          <w:szCs w:val="24"/>
        </w:rPr>
        <w:t xml:space="preserve"> of oral anticancer therapies. </w:t>
      </w:r>
    </w:p>
    <w:p w:rsidRPr="00E956E9" w:rsidR="004F7BDA" w:rsidP="00580440" w:rsidRDefault="004F7BDA" w14:paraId="45A44796" w14:noSpellErr="1" w14:textId="50AC8ACB">
      <w:pPr>
        <w:pStyle w:val="ListParagraph"/>
        <w:numPr>
          <w:ilvl w:val="0"/>
          <w:numId w:val="12"/>
        </w:numPr>
        <w:spacing w:after="0" w:line="240" w:lineRule="auto"/>
        <w:contextualSpacing w:val="0"/>
        <w:rPr>
          <w:sz w:val="24"/>
          <w:szCs w:val="24"/>
        </w:rPr>
      </w:pPr>
      <w:r w:rsidRPr="2D7ABE1E" w:rsidR="2D7ABE1E">
        <w:rPr>
          <w:rFonts w:ascii="Calibri" w:hAnsi="Calibri" w:eastAsia="Calibri" w:cs="Calibri"/>
          <w:sz w:val="24"/>
          <w:szCs w:val="24"/>
        </w:rPr>
        <w:t>Insur</w:t>
      </w:r>
      <w:r w:rsidRPr="2D7ABE1E" w:rsidR="2D7ABE1E">
        <w:rPr>
          <w:rFonts w:ascii="Calibri" w:hAnsi="Calibri" w:eastAsia="Calibri" w:cs="Calibri"/>
          <w:sz w:val="24"/>
          <w:szCs w:val="24"/>
        </w:rPr>
        <w:t>ance is intended to s</w:t>
      </w:r>
      <w:r w:rsidRPr="2D7ABE1E" w:rsidR="2D7ABE1E">
        <w:rPr>
          <w:rFonts w:ascii="Calibri" w:hAnsi="Calibri" w:eastAsia="Calibri" w:cs="Calibri"/>
          <w:sz w:val="24"/>
          <w:szCs w:val="24"/>
        </w:rPr>
        <w:t>pread risk across the</w:t>
      </w:r>
      <w:r w:rsidRPr="2D7ABE1E" w:rsidR="2D7ABE1E">
        <w:rPr>
          <w:rFonts w:ascii="Calibri" w:hAnsi="Calibri" w:eastAsia="Calibri" w:cs="Calibri"/>
          <w:sz w:val="24"/>
          <w:szCs w:val="24"/>
        </w:rPr>
        <w:t xml:space="preserve"> total insured population, rather than </w:t>
      </w:r>
      <w:r w:rsidRPr="2D7ABE1E" w:rsidR="2D7ABE1E">
        <w:rPr>
          <w:rFonts w:ascii="Calibri" w:hAnsi="Calibri" w:eastAsia="Calibri" w:cs="Calibri"/>
          <w:sz w:val="24"/>
          <w:szCs w:val="24"/>
        </w:rPr>
        <w:t>singling out certain patients by forcing them to</w:t>
      </w:r>
      <w:r w:rsidRPr="2D7ABE1E" w:rsidR="2D7ABE1E">
        <w:rPr>
          <w:rFonts w:ascii="Calibri" w:hAnsi="Calibri" w:eastAsia="Calibri" w:cs="Calibri"/>
          <w:sz w:val="24"/>
          <w:szCs w:val="24"/>
        </w:rPr>
        <w:t xml:space="preserve"> cover a disproportionate share of the cost of their care.</w:t>
      </w:r>
      <w:r w:rsidRPr="2D7ABE1E" w:rsidR="2D7ABE1E">
        <w:rPr>
          <w:rFonts w:ascii="Calibri" w:hAnsi="Calibri" w:eastAsia="Calibri" w:cs="Calibri"/>
          <w:sz w:val="24"/>
          <w:szCs w:val="24"/>
        </w:rPr>
        <w:t xml:space="preserve"> </w:t>
      </w:r>
      <w:r w:rsidRPr="2D7ABE1E" w:rsidR="2D7ABE1E">
        <w:rPr>
          <w:rFonts w:ascii="Calibri" w:hAnsi="Calibri" w:eastAsia="Calibri" w:cs="Calibri"/>
          <w:sz w:val="24"/>
          <w:szCs w:val="24"/>
        </w:rPr>
        <w:t xml:space="preserve">  </w:t>
      </w:r>
    </w:p>
    <w:p w:rsidRPr="00E956E9" w:rsidR="00C7370C" w:rsidP="00580440" w:rsidRDefault="00C7370C" w14:paraId="3D97D711" w14:textId="77777777">
      <w:pPr>
        <w:pStyle w:val="PlainText"/>
        <w:rPr>
          <w:rFonts w:asciiTheme="minorHAnsi" w:hAnsiTheme="minorHAnsi"/>
          <w:sz w:val="24"/>
          <w:szCs w:val="24"/>
        </w:rPr>
      </w:pPr>
    </w:p>
    <w:p w:rsidR="00A962B3" w:rsidP="00580440" w:rsidRDefault="00D55E56" w14:paraId="57D60884" w14:textId="77777777" w14:noSpellErr="1">
      <w:pPr>
        <w:pStyle w:val="PlainText"/>
        <w:rPr>
          <w:rFonts w:asciiTheme="minorHAnsi" w:hAnsiTheme="minorHAnsi"/>
          <w:b/>
          <w:sz w:val="24"/>
          <w:szCs w:val="24"/>
        </w:rPr>
      </w:pPr>
      <w:r w:rsidRPr="2D7ABE1E" w:rsidR="2D7ABE1E">
        <w:rPr>
          <w:rFonts w:ascii="Calibri" w:hAnsi="Calibri" w:eastAsia="Calibri" w:cs="Calibri"/>
          <w:b w:val="1"/>
          <w:bCs w:val="1"/>
          <w:sz w:val="24"/>
          <w:szCs w:val="24"/>
        </w:rPr>
        <w:t>“</w:t>
      </w:r>
      <w:r w:rsidRPr="2D7ABE1E" w:rsidR="2D7ABE1E">
        <w:rPr>
          <w:rFonts w:ascii="Calibri" w:hAnsi="Calibri" w:eastAsia="Calibri" w:cs="Calibri"/>
          <w:b w:val="1"/>
          <w:bCs w:val="1"/>
          <w:sz w:val="24"/>
          <w:szCs w:val="24"/>
        </w:rPr>
        <w:t>Oral therapies are more expensive.</w:t>
      </w:r>
      <w:r w:rsidRPr="2D7ABE1E" w:rsidR="2D7ABE1E">
        <w:rPr>
          <w:rFonts w:ascii="Calibri" w:hAnsi="Calibri" w:eastAsia="Calibri" w:cs="Calibri"/>
          <w:b w:val="1"/>
          <w:bCs w:val="1"/>
          <w:sz w:val="24"/>
          <w:szCs w:val="24"/>
        </w:rPr>
        <w:t xml:space="preserve"> </w:t>
      </w:r>
      <w:r w:rsidRPr="2D7ABE1E" w:rsidR="2D7ABE1E">
        <w:rPr>
          <w:rFonts w:ascii="Calibri" w:hAnsi="Calibri" w:eastAsia="Calibri" w:cs="Calibri"/>
          <w:b w:val="1"/>
          <w:bCs w:val="1"/>
          <w:sz w:val="24"/>
          <w:szCs w:val="24"/>
        </w:rPr>
        <w:t xml:space="preserve">That’s </w:t>
      </w:r>
      <w:r w:rsidRPr="2D7ABE1E" w:rsidR="2D7ABE1E">
        <w:rPr>
          <w:rFonts w:ascii="Calibri" w:hAnsi="Calibri" w:eastAsia="Calibri" w:cs="Calibri"/>
          <w:b w:val="1"/>
          <w:bCs w:val="1"/>
          <w:sz w:val="24"/>
          <w:szCs w:val="24"/>
        </w:rPr>
        <w:t>why the cost-sharing is higher.”</w:t>
      </w:r>
    </w:p>
    <w:p w:rsidRPr="00E956E9" w:rsidR="00BE7C93" w:rsidP="00580440" w:rsidRDefault="00BE7C93" w14:paraId="7F489AAD" w14:textId="77777777">
      <w:pPr>
        <w:pStyle w:val="PlainText"/>
        <w:rPr>
          <w:rFonts w:asciiTheme="minorHAnsi" w:hAnsiTheme="minorHAnsi"/>
          <w:b/>
          <w:sz w:val="24"/>
          <w:szCs w:val="24"/>
        </w:rPr>
      </w:pPr>
    </w:p>
    <w:p w:rsidRPr="00E956E9" w:rsidR="004F7BDA" w:rsidP="2D7ABE1E" w:rsidRDefault="004F7BDA" w14:paraId="0FABDECA" w14:textId="77777777" w14:noSpellErr="1">
      <w:pPr>
        <w:pStyle w:val="PlainText"/>
        <w:numPr>
          <w:ilvl w:val="0"/>
          <w:numId w:val="14"/>
        </w:numPr>
        <w:ind w:left="360"/>
        <w:rPr>
          <w:rFonts w:ascii="Calibri,Arial" w:hAnsi="Calibri,Arial" w:eastAsia="Calibri,Arial" w:cs="Calibri,Arial" w:asciiTheme="minorAscii" w:hAnsiTheme="minorAscii" w:eastAsiaTheme="minorAscii" w:cstheme="minorAscii"/>
          <w:sz w:val="24"/>
          <w:szCs w:val="24"/>
        </w:rPr>
      </w:pPr>
      <w:r w:rsidRPr="2D7ABE1E" w:rsidR="2D7ABE1E">
        <w:rPr>
          <w:rFonts w:ascii="Calibri" w:hAnsi="Calibri" w:eastAsia="Calibri" w:cs="Calibri"/>
          <w:sz w:val="24"/>
          <w:szCs w:val="24"/>
        </w:rPr>
        <w:t xml:space="preserve">There is variation in the cost of individual cancer treatment medications. </w:t>
      </w:r>
      <w:r w:rsidRPr="2D7ABE1E" w:rsidR="2D7ABE1E">
        <w:rPr>
          <w:rFonts w:ascii="Calibri" w:hAnsi="Calibri" w:eastAsia="Calibri" w:cs="Calibri"/>
          <w:sz w:val="24"/>
          <w:szCs w:val="24"/>
        </w:rPr>
        <w:t xml:space="preserve">Newer treatments </w:t>
      </w:r>
      <w:r w:rsidRPr="2D7ABE1E" w:rsidR="2D7ABE1E">
        <w:rPr>
          <w:rFonts w:ascii="Calibri" w:hAnsi="Calibri" w:eastAsia="Calibri" w:cs="Calibri"/>
          <w:sz w:val="24"/>
          <w:szCs w:val="24"/>
        </w:rPr>
        <w:t>are considered</w:t>
      </w:r>
      <w:r w:rsidRPr="2D7ABE1E" w:rsidR="2D7ABE1E">
        <w:rPr>
          <w:rFonts w:ascii="Calibri" w:hAnsi="Calibri" w:eastAsia="Calibri" w:cs="Calibri"/>
          <w:sz w:val="24"/>
          <w:szCs w:val="24"/>
        </w:rPr>
        <w:t xml:space="preserve"> to have a higher cost than older therapies, but in general this</w:t>
      </w:r>
      <w:r w:rsidRPr="2D7ABE1E" w:rsidR="2D7ABE1E">
        <w:rPr>
          <w:rFonts w:ascii="Calibri" w:hAnsi="Calibri" w:eastAsia="Calibri" w:cs="Calibri"/>
          <w:sz w:val="24"/>
          <w:szCs w:val="24"/>
        </w:rPr>
        <w:t xml:space="preserve"> higher cost is associated with</w:t>
      </w:r>
      <w:r w:rsidRPr="2D7ABE1E" w:rsidR="2D7ABE1E">
        <w:rPr>
          <w:rFonts w:ascii="Calibri" w:hAnsi="Calibri" w:eastAsia="Calibri" w:cs="Calibri"/>
          <w:sz w:val="24"/>
          <w:szCs w:val="24"/>
        </w:rPr>
        <w:t xml:space="preserve"> all newer, innovative therapies, regardless of their administration format. </w:t>
      </w:r>
      <w:r w:rsidRPr="2D7ABE1E" w:rsidR="2D7ABE1E">
        <w:rPr>
          <w:rFonts w:ascii="Calibri" w:hAnsi="Calibri" w:eastAsia="Calibri" w:cs="Calibri"/>
          <w:sz w:val="24"/>
          <w:szCs w:val="24"/>
        </w:rPr>
        <w:t>Note that</w:t>
      </w:r>
      <w:r w:rsidRPr="2D7ABE1E" w:rsidR="2D7ABE1E">
        <w:rPr>
          <w:rFonts w:ascii="Calibri" w:hAnsi="Calibri" w:eastAsia="Calibri" w:cs="Calibri"/>
          <w:sz w:val="24"/>
          <w:szCs w:val="24"/>
        </w:rPr>
        <w:t xml:space="preserve"> older therapies –</w:t>
      </w:r>
      <w:r w:rsidRPr="2D7ABE1E" w:rsidR="2D7ABE1E">
        <w:rPr>
          <w:rFonts w:ascii="Calibri" w:hAnsi="Calibri" w:eastAsia="Calibri" w:cs="Calibri"/>
          <w:sz w:val="24"/>
          <w:szCs w:val="24"/>
        </w:rPr>
        <w:t xml:space="preserve"> together as a group</w:t>
      </w:r>
      <w:r w:rsidRPr="2D7ABE1E" w:rsidR="2D7ABE1E">
        <w:rPr>
          <w:rFonts w:ascii="Calibri" w:hAnsi="Calibri" w:eastAsia="Calibri" w:cs="Calibri"/>
          <w:sz w:val="24"/>
          <w:szCs w:val="24"/>
        </w:rPr>
        <w:t xml:space="preserve"> – include </w:t>
      </w:r>
      <w:r w:rsidRPr="2D7ABE1E" w:rsidR="2D7ABE1E">
        <w:rPr>
          <w:rFonts w:ascii="Calibri" w:hAnsi="Calibri" w:eastAsia="Calibri" w:cs="Calibri"/>
          <w:sz w:val="24"/>
          <w:szCs w:val="24"/>
        </w:rPr>
        <w:t xml:space="preserve">some </w:t>
      </w:r>
      <w:r w:rsidRPr="2D7ABE1E" w:rsidR="2D7ABE1E">
        <w:rPr>
          <w:rFonts w:ascii="Calibri" w:hAnsi="Calibri" w:eastAsia="Calibri" w:cs="Calibri"/>
          <w:sz w:val="24"/>
          <w:szCs w:val="24"/>
        </w:rPr>
        <w:t>medications for which there is now a lower-cost, generic counterpart</w:t>
      </w:r>
      <w:r w:rsidRPr="2D7ABE1E" w:rsidR="2D7ABE1E">
        <w:rPr>
          <w:rFonts w:ascii="Calibri" w:hAnsi="Calibri" w:eastAsia="Calibri" w:cs="Calibri"/>
          <w:sz w:val="24"/>
          <w:szCs w:val="24"/>
        </w:rPr>
        <w:t xml:space="preserve">. </w:t>
      </w:r>
    </w:p>
    <w:p w:rsidRPr="00003AF3" w:rsidR="001A7D05" w:rsidP="2D7ABE1E" w:rsidRDefault="004F7BDA" w14:paraId="2CDBA614" w14:textId="77777777" w14:noSpellErr="1">
      <w:pPr>
        <w:pStyle w:val="PlainText"/>
        <w:numPr>
          <w:ilvl w:val="0"/>
          <w:numId w:val="14"/>
        </w:numPr>
        <w:ind w:left="360"/>
        <w:rPr>
          <w:rFonts w:ascii="Calibri,Arial" w:hAnsi="Calibri,Arial" w:eastAsia="Calibri,Arial" w:cs="Calibri,Arial" w:asciiTheme="minorAscii" w:hAnsiTheme="minorAscii" w:eastAsiaTheme="minorAscii" w:cstheme="minorAscii"/>
          <w:sz w:val="24"/>
          <w:szCs w:val="24"/>
        </w:rPr>
      </w:pPr>
      <w:r w:rsidRPr="2D7ABE1E">
        <w:rPr>
          <w:rFonts w:ascii="Calibri" w:hAnsi="Calibri" w:eastAsia="Calibri" w:cs="Calibri"/>
          <w:sz w:val="24"/>
          <w:szCs w:val="24"/>
        </w:rPr>
        <w:t xml:space="preserve">In </w:t>
      </w:r>
      <w:r w:rsidRPr="2D7ABE1E" w:rsidR="001A7D05">
        <w:rPr>
          <w:rFonts w:ascii="Calibri" w:hAnsi="Calibri" w:eastAsia="Calibri" w:cs="Calibri"/>
          <w:sz w:val="24"/>
          <w:szCs w:val="24"/>
        </w:rPr>
        <w:t>some cases,</w:t>
      </w:r>
      <w:r w:rsidRPr="2D7ABE1E">
        <w:rPr>
          <w:rFonts w:ascii="Calibri" w:hAnsi="Calibri" w:eastAsia="Calibri" w:cs="Calibri"/>
          <w:sz w:val="24"/>
          <w:szCs w:val="24"/>
        </w:rPr>
        <w:t xml:space="preserve"> IV treatment</w:t>
      </w:r>
      <w:r w:rsidRPr="2D7ABE1E" w:rsidR="001A7D05">
        <w:rPr>
          <w:rFonts w:ascii="Calibri" w:hAnsi="Calibri" w:eastAsia="Calibri" w:cs="Calibri"/>
          <w:sz w:val="24"/>
          <w:szCs w:val="24"/>
        </w:rPr>
        <w:t>s</w:t>
      </w:r>
      <w:r w:rsidRPr="2D7ABE1E">
        <w:rPr>
          <w:rFonts w:ascii="Calibri" w:hAnsi="Calibri" w:eastAsia="Calibri" w:cs="Calibri"/>
          <w:sz w:val="24"/>
          <w:szCs w:val="24"/>
        </w:rPr>
        <w:t xml:space="preserve"> involve higher total </w:t>
      </w:r>
      <w:r w:rsidRPr="2D7ABE1E" w:rsidR="00675677">
        <w:rPr>
          <w:rFonts w:ascii="Calibri" w:hAnsi="Calibri" w:eastAsia="Calibri" w:cs="Calibri"/>
          <w:sz w:val="24"/>
          <w:szCs w:val="24"/>
        </w:rPr>
        <w:t xml:space="preserve">plan </w:t>
      </w:r>
      <w:r w:rsidRPr="2D7ABE1E">
        <w:rPr>
          <w:rFonts w:ascii="Calibri" w:hAnsi="Calibri" w:eastAsia="Calibri" w:cs="Calibri"/>
          <w:sz w:val="24"/>
          <w:szCs w:val="24"/>
        </w:rPr>
        <w:t>costs than an oral medication, as administering an IV drug requires</w:t>
      </w:r>
      <w:r w:rsidRPr="2D7ABE1E" w:rsidR="001A7D05">
        <w:rPr>
          <w:rFonts w:ascii="Calibri" w:hAnsi="Calibri" w:eastAsia="Calibri" w:cs="Calibri"/>
          <w:sz w:val="24"/>
          <w:szCs w:val="24"/>
        </w:rPr>
        <w:t xml:space="preserve"> health</w:t>
      </w:r>
      <w:r w:rsidRPr="2D7ABE1E">
        <w:rPr>
          <w:rFonts w:ascii="Calibri" w:hAnsi="Calibri" w:eastAsia="Calibri" w:cs="Calibri"/>
          <w:sz w:val="24"/>
          <w:szCs w:val="24"/>
        </w:rPr>
        <w:t xml:space="preserve"> plans to cover</w:t>
      </w:r>
      <w:r w:rsidRPr="2D7ABE1E" w:rsidR="001A7D05">
        <w:rPr>
          <w:rFonts w:ascii="Calibri" w:hAnsi="Calibri" w:eastAsia="Calibri" w:cs="Calibri"/>
          <w:sz w:val="24"/>
          <w:szCs w:val="24"/>
        </w:rPr>
        <w:t xml:space="preserve"> the cost of</w:t>
      </w:r>
      <w:r w:rsidRPr="2D7ABE1E">
        <w:rPr>
          <w:rFonts w:ascii="Calibri" w:hAnsi="Calibri" w:eastAsia="Calibri" w:cs="Calibri"/>
          <w:sz w:val="24"/>
          <w:szCs w:val="24"/>
        </w:rPr>
        <w:t xml:space="preserve"> other </w:t>
      </w:r>
      <w:r w:rsidRPr="2D7ABE1E" w:rsidR="00675677">
        <w:rPr>
          <w:rFonts w:ascii="Calibri" w:hAnsi="Calibri" w:eastAsia="Calibri" w:cs="Calibri"/>
          <w:sz w:val="24"/>
          <w:szCs w:val="24"/>
        </w:rPr>
        <w:t xml:space="preserve">items and services </w:t>
      </w:r>
      <w:r w:rsidRPr="2D7ABE1E">
        <w:rPr>
          <w:rFonts w:ascii="Calibri" w:hAnsi="Calibri" w:eastAsia="Calibri" w:cs="Calibri"/>
          <w:sz w:val="24"/>
          <w:szCs w:val="24"/>
        </w:rPr>
        <w:t>in addition to the cost of the drug itself</w:t>
      </w:r>
      <w:r w:rsidRPr="2D7ABE1E" w:rsidR="001A7D05">
        <w:rPr>
          <w:rFonts w:ascii="Calibri" w:hAnsi="Calibri" w:eastAsia="Calibri" w:cs="Calibri"/>
          <w:sz w:val="24"/>
          <w:szCs w:val="24"/>
        </w:rPr>
        <w:t>. This</w:t>
      </w:r>
      <w:r w:rsidRPr="2D7ABE1E" w:rsidR="00031172">
        <w:rPr>
          <w:rFonts w:ascii="Calibri" w:hAnsi="Calibri" w:eastAsia="Calibri" w:cs="Calibri"/>
          <w:sz w:val="24"/>
          <w:szCs w:val="24"/>
        </w:rPr>
        <w:t xml:space="preserve"> can</w:t>
      </w:r>
      <w:r w:rsidRPr="2D7ABE1E" w:rsidR="001A7D05">
        <w:rPr>
          <w:rFonts w:ascii="Calibri" w:hAnsi="Calibri" w:eastAsia="Calibri" w:cs="Calibri"/>
          <w:sz w:val="24"/>
          <w:szCs w:val="24"/>
        </w:rPr>
        <w:t xml:space="preserve"> include </w:t>
      </w:r>
      <w:r w:rsidRPr="2D7ABE1E">
        <w:rPr>
          <w:rFonts w:ascii="Calibri" w:hAnsi="Calibri" w:eastAsia="Calibri" w:cs="Calibri"/>
          <w:sz w:val="24"/>
          <w:szCs w:val="24"/>
        </w:rPr>
        <w:t xml:space="preserve">facility fees, </w:t>
      </w:r>
      <w:r w:rsidRPr="2D7ABE1E" w:rsidR="001A7D05">
        <w:rPr>
          <w:rFonts w:ascii="Calibri" w:hAnsi="Calibri" w:eastAsia="Calibri" w:cs="Calibri"/>
          <w:sz w:val="24"/>
          <w:szCs w:val="24"/>
        </w:rPr>
        <w:t>nursing staff</w:t>
      </w:r>
      <w:r w:rsidRPr="2D7ABE1E">
        <w:rPr>
          <w:rFonts w:ascii="Calibri" w:hAnsi="Calibri" w:eastAsia="Calibri" w:cs="Calibri"/>
          <w:sz w:val="24"/>
          <w:szCs w:val="24"/>
        </w:rPr>
        <w:t xml:space="preserve">, </w:t>
      </w:r>
      <w:r w:rsidRPr="2D7ABE1E" w:rsidR="001A7D05">
        <w:rPr>
          <w:rFonts w:ascii="Calibri" w:hAnsi="Calibri" w:eastAsia="Calibri" w:cs="Calibri"/>
          <w:sz w:val="24"/>
          <w:szCs w:val="24"/>
        </w:rPr>
        <w:t xml:space="preserve">and supplies. </w:t>
      </w:r>
      <w:r w:rsidRPr="2D7ABE1E">
        <w:rPr>
          <w:rFonts w:ascii="Calibri" w:hAnsi="Calibri" w:eastAsia="Calibri" w:cs="Calibri"/>
          <w:sz w:val="24"/>
          <w:szCs w:val="24"/>
        </w:rPr>
        <w:t xml:space="preserve"> </w:t>
      </w:r>
      <w:r w:rsidRPr="2D7ABE1E" w:rsidR="00003AF3">
        <w:rPr>
          <w:rFonts w:ascii="Calibri" w:hAnsi="Calibri" w:eastAsia="Calibri" w:cs="Calibri"/>
          <w:sz w:val="24"/>
          <w:szCs w:val="24"/>
        </w:rPr>
        <w:t xml:space="preserve">For example, </w:t>
      </w:r>
      <w:r w:rsidRPr="2D7ABE1E" w:rsidR="00003AF3">
        <w:rPr>
          <w:rFonts w:ascii="Calibri" w:hAnsi="Calibri" w:eastAsia="Calibri" w:cs="Calibri"/>
          <w:sz w:val="24"/>
          <w:szCs w:val="24"/>
        </w:rPr>
        <w:t>a</w:t>
      </w:r>
      <w:r w:rsidRPr="2D7ABE1E" w:rsidR="001A7D05">
        <w:rPr>
          <w:rFonts w:ascii="Calibri" w:hAnsi="Calibri" w:eastAsia="Calibri" w:cs="Calibri"/>
          <w:sz w:val="24"/>
          <w:szCs w:val="24"/>
        </w:rPr>
        <w:t xml:space="preserve"> study published in 2013 in the </w:t>
      </w:r>
      <w:r w:rsidRPr="2D7ABE1E" w:rsidR="001A7D05">
        <w:rPr>
          <w:rFonts w:ascii="Calibri" w:hAnsi="Calibri" w:eastAsia="Calibri" w:cs="Calibri"/>
          <w:i w:val="1"/>
          <w:iCs w:val="1"/>
          <w:sz w:val="24"/>
          <w:szCs w:val="24"/>
        </w:rPr>
        <w:t xml:space="preserve">Journal of Medical Economics </w:t>
      </w:r>
      <w:r w:rsidRPr="2D7ABE1E" w:rsidR="001A7D05">
        <w:rPr>
          <w:rFonts w:ascii="Calibri" w:hAnsi="Calibri" w:eastAsia="Calibri" w:cs="Calibri"/>
          <w:sz w:val="24"/>
          <w:szCs w:val="24"/>
        </w:rPr>
        <w:t xml:space="preserve">compared the overall costs of IV and oral therapies used in the treatment of relapsed/refractory multiple myeloma. The study found that annual treatment costs for the IV regimen were more than $17,000 higher </w:t>
      </w:r>
      <w:r w:rsidRPr="2D7ABE1E" w:rsidR="00D90408">
        <w:rPr>
          <w:rFonts w:ascii="Calibri" w:hAnsi="Calibri" w:eastAsia="Calibri" w:cs="Calibri"/>
          <w:sz w:val="24"/>
          <w:szCs w:val="24"/>
        </w:rPr>
        <w:t>than the costs for the oral regimen, as the result of direct medical costs. (The costs of the drugs themselves were about the same.)</w:t>
      </w:r>
      <w:r w:rsidRPr="2D7ABE1E" w:rsidR="00D90408">
        <w:rPr>
          <w:rStyle w:val="EndnoteReference"/>
          <w:rFonts w:ascii="Calibri" w:hAnsi="Calibri" w:eastAsia="Calibri" w:cs="Calibri"/>
          <w:sz w:val="24"/>
          <w:szCs w:val="24"/>
        </w:rPr>
        <w:endnoteReference w:id="4"/>
      </w:r>
      <w:r w:rsidRPr="2D7ABE1E" w:rsidR="00D90408">
        <w:rPr>
          <w:rFonts w:ascii="Calibri" w:hAnsi="Calibri" w:eastAsia="Calibri" w:cs="Calibri"/>
          <w:sz w:val="24"/>
          <w:szCs w:val="24"/>
        </w:rPr>
        <w:t xml:space="preserve"> </w:t>
      </w:r>
    </w:p>
    <w:p w:rsidR="00783A7F" w:rsidP="00ED3FF5" w:rsidRDefault="00783A7F" w14:paraId="3E2757A1" w14:textId="77777777">
      <w:pPr>
        <w:spacing w:after="0" w:line="240" w:lineRule="auto"/>
        <w:rPr>
          <w:b/>
          <w:sz w:val="24"/>
          <w:szCs w:val="24"/>
        </w:rPr>
      </w:pPr>
    </w:p>
    <w:p w:rsidR="00ED3FF5" w:rsidP="00ED3FF5" w:rsidRDefault="00D55E56" w14:paraId="77BD7D97" w14:textId="77777777" w14:noSpellErr="1">
      <w:pPr>
        <w:spacing w:after="0" w:line="240" w:lineRule="auto"/>
        <w:rPr>
          <w:b/>
          <w:sz w:val="24"/>
          <w:szCs w:val="24"/>
        </w:rPr>
      </w:pPr>
      <w:r w:rsidRPr="2D7ABE1E" w:rsidR="2D7ABE1E">
        <w:rPr>
          <w:rFonts w:ascii="Calibri" w:hAnsi="Calibri" w:eastAsia="Calibri" w:cs="Calibri"/>
          <w:b w:val="1"/>
          <w:bCs w:val="1"/>
          <w:sz w:val="24"/>
          <w:szCs w:val="24"/>
        </w:rPr>
        <w:t>“</w:t>
      </w:r>
      <w:r w:rsidRPr="2D7ABE1E" w:rsidR="2D7ABE1E">
        <w:rPr>
          <w:rFonts w:ascii="Calibri" w:hAnsi="Calibri" w:eastAsia="Calibri" w:cs="Calibri"/>
          <w:b w:val="1"/>
          <w:bCs w:val="1"/>
          <w:sz w:val="24"/>
          <w:szCs w:val="24"/>
        </w:rPr>
        <w:t>If a health care provider believes that it’s in a patient’s best interest to take an oral therapy that’s not covered by the patient’s health plan, then the provider can simply use the insurer’s exception</w:t>
      </w:r>
      <w:r w:rsidRPr="2D7ABE1E" w:rsidR="2D7ABE1E">
        <w:rPr>
          <w:rFonts w:ascii="Calibri" w:hAnsi="Calibri" w:eastAsia="Calibri" w:cs="Calibri"/>
          <w:b w:val="1"/>
          <w:bCs w:val="1"/>
          <w:sz w:val="24"/>
          <w:szCs w:val="24"/>
        </w:rPr>
        <w:t>s</w:t>
      </w:r>
      <w:r w:rsidRPr="2D7ABE1E" w:rsidR="2D7ABE1E">
        <w:rPr>
          <w:rFonts w:ascii="Calibri" w:hAnsi="Calibri" w:eastAsia="Calibri" w:cs="Calibri"/>
          <w:b w:val="1"/>
          <w:bCs w:val="1"/>
          <w:sz w:val="24"/>
          <w:szCs w:val="24"/>
        </w:rPr>
        <w:t xml:space="preserve"> process to reque</w:t>
      </w:r>
      <w:r w:rsidRPr="2D7ABE1E" w:rsidR="2D7ABE1E">
        <w:rPr>
          <w:rFonts w:ascii="Calibri" w:hAnsi="Calibri" w:eastAsia="Calibri" w:cs="Calibri"/>
          <w:b w:val="1"/>
          <w:bCs w:val="1"/>
          <w:sz w:val="24"/>
          <w:szCs w:val="24"/>
        </w:rPr>
        <w:t>st that the therapy be covered.”</w:t>
      </w:r>
    </w:p>
    <w:p w:rsidRPr="007E4F48" w:rsidR="00ED3FF5" w:rsidP="00ED3FF5" w:rsidRDefault="00ED3FF5" w14:paraId="7D4B24B4" w14:textId="77777777">
      <w:pPr>
        <w:spacing w:after="0" w:line="240" w:lineRule="auto"/>
        <w:rPr>
          <w:rStyle w:val="A0"/>
          <w:b/>
          <w:color w:val="auto"/>
          <w:sz w:val="24"/>
          <w:szCs w:val="24"/>
        </w:rPr>
      </w:pPr>
    </w:p>
    <w:p w:rsidR="00ED3FF5" w:rsidP="00ED3FF5" w:rsidRDefault="00ED3FF5" w14:paraId="225B4342" w14:textId="77777777" w14:noSpellErr="1">
      <w:pPr>
        <w:pStyle w:val="ListParagraph"/>
        <w:numPr>
          <w:ilvl w:val="0"/>
          <w:numId w:val="10"/>
        </w:numPr>
        <w:spacing w:after="0" w:line="240" w:lineRule="auto"/>
        <w:ind w:left="360"/>
        <w:contextualSpacing w:val="0"/>
        <w:rPr>
          <w:sz w:val="24"/>
          <w:szCs w:val="24"/>
        </w:rPr>
      </w:pPr>
      <w:r w:rsidRPr="2D7ABE1E" w:rsidR="2D7ABE1E">
        <w:rPr>
          <w:rFonts w:ascii="Calibri" w:hAnsi="Calibri" w:eastAsia="Calibri" w:cs="Calibri"/>
          <w:sz w:val="24"/>
          <w:szCs w:val="24"/>
        </w:rPr>
        <w:t xml:space="preserve">An exceptions process may allow a </w:t>
      </w:r>
      <w:r w:rsidRPr="2D7ABE1E" w:rsidR="2D7ABE1E">
        <w:rPr>
          <w:rFonts w:ascii="Calibri" w:hAnsi="Calibri" w:eastAsia="Calibri" w:cs="Calibri"/>
          <w:sz w:val="24"/>
          <w:szCs w:val="24"/>
        </w:rPr>
        <w:t xml:space="preserve">health care </w:t>
      </w:r>
      <w:r w:rsidRPr="2D7ABE1E" w:rsidR="2D7ABE1E">
        <w:rPr>
          <w:rFonts w:ascii="Calibri" w:hAnsi="Calibri" w:eastAsia="Calibri" w:cs="Calibri"/>
          <w:sz w:val="24"/>
          <w:szCs w:val="24"/>
        </w:rPr>
        <w:t xml:space="preserve">provider to request that a product be considered on-formulary, but that determination doesn’t necessarily mean that coverage would be provided for the oral therapy under the same </w:t>
      </w:r>
      <w:r w:rsidRPr="2D7ABE1E" w:rsidR="2D7ABE1E">
        <w:rPr>
          <w:rFonts w:ascii="Calibri" w:hAnsi="Calibri" w:eastAsia="Calibri" w:cs="Calibri"/>
          <w:sz w:val="24"/>
          <w:szCs w:val="24"/>
        </w:rPr>
        <w:t>out-of-pocket cost as for an IV medication</w:t>
      </w:r>
      <w:r w:rsidRPr="2D7ABE1E" w:rsidR="2D7ABE1E">
        <w:rPr>
          <w:rFonts w:ascii="Calibri" w:hAnsi="Calibri" w:eastAsia="Calibri" w:cs="Calibri"/>
          <w:sz w:val="24"/>
          <w:szCs w:val="24"/>
        </w:rPr>
        <w:t>.</w:t>
      </w:r>
    </w:p>
    <w:p w:rsidRPr="007E4F48" w:rsidR="00ED3FF5" w:rsidP="00ED3FF5" w:rsidRDefault="00ED3FF5" w14:paraId="18437AC9" w14:textId="77777777" w14:noSpellErr="1">
      <w:pPr>
        <w:pStyle w:val="ListParagraph"/>
        <w:numPr>
          <w:ilvl w:val="0"/>
          <w:numId w:val="10"/>
        </w:numPr>
        <w:spacing w:after="0" w:line="240" w:lineRule="auto"/>
        <w:ind w:left="360"/>
        <w:contextualSpacing w:val="0"/>
        <w:rPr>
          <w:sz w:val="24"/>
          <w:szCs w:val="24"/>
        </w:rPr>
      </w:pPr>
      <w:r w:rsidRPr="2D7ABE1E" w:rsidR="2D7ABE1E">
        <w:rPr>
          <w:rFonts w:ascii="Calibri" w:hAnsi="Calibri" w:eastAsia="Calibri" w:cs="Calibri"/>
          <w:sz w:val="24"/>
          <w:szCs w:val="24"/>
        </w:rPr>
        <w:t>E</w:t>
      </w:r>
      <w:r w:rsidRPr="2D7ABE1E" w:rsidR="2D7ABE1E">
        <w:rPr>
          <w:rFonts w:ascii="Calibri" w:hAnsi="Calibri" w:eastAsia="Calibri" w:cs="Calibri"/>
          <w:sz w:val="24"/>
          <w:szCs w:val="24"/>
        </w:rPr>
        <w:t xml:space="preserve">xceptions processes often lack transparency and can be time-consuming and difficult </w:t>
      </w:r>
      <w:r w:rsidRPr="2D7ABE1E" w:rsidR="2D7ABE1E">
        <w:rPr>
          <w:rFonts w:ascii="Calibri" w:hAnsi="Calibri" w:eastAsia="Calibri" w:cs="Calibri"/>
          <w:sz w:val="24"/>
          <w:szCs w:val="24"/>
        </w:rPr>
        <w:t>to follow for both patients and health care providers</w:t>
      </w:r>
      <w:r w:rsidRPr="2D7ABE1E" w:rsidR="2D7ABE1E">
        <w:rPr>
          <w:rFonts w:ascii="Calibri" w:hAnsi="Calibri" w:eastAsia="Calibri" w:cs="Calibri"/>
          <w:sz w:val="24"/>
          <w:szCs w:val="24"/>
        </w:rPr>
        <w:t xml:space="preserve">.  </w:t>
      </w:r>
    </w:p>
    <w:p w:rsidRPr="00E956E9" w:rsidR="00825BA7" w:rsidP="00580440" w:rsidRDefault="00825BA7" w14:paraId="15C0596A" w14:textId="77777777">
      <w:pPr>
        <w:spacing w:after="0" w:line="240" w:lineRule="auto"/>
        <w:rPr>
          <w:i/>
          <w:sz w:val="24"/>
          <w:szCs w:val="24"/>
        </w:rPr>
      </w:pPr>
    </w:p>
    <w:p w:rsidR="00CE4D3B" w:rsidP="00580440" w:rsidRDefault="2D8A2D21" w14:paraId="4E9CD97E" w14:textId="77777777" w14:noSpellErr="1">
      <w:pPr>
        <w:spacing w:after="0" w:line="240" w:lineRule="auto"/>
        <w:rPr>
          <w:rFonts w:cs="Arial"/>
          <w:b/>
          <w:sz w:val="24"/>
          <w:szCs w:val="24"/>
        </w:rPr>
      </w:pPr>
      <w:r w:rsidRPr="2D7ABE1E" w:rsidR="2D7ABE1E">
        <w:rPr>
          <w:rFonts w:ascii="Calibri" w:hAnsi="Calibri" w:eastAsia="Calibri" w:cs="Calibri"/>
          <w:b w:val="1"/>
          <w:bCs w:val="1"/>
          <w:sz w:val="24"/>
          <w:szCs w:val="24"/>
        </w:rPr>
        <w:t>“Only federal law can require all plans to implement parity. Patients would be better served if proponents of this bill would focus their efforts on Congress.”</w:t>
      </w:r>
    </w:p>
    <w:p w:rsidRPr="00E956E9" w:rsidR="00BE7C93" w:rsidP="00580440" w:rsidRDefault="00BE7C93" w14:paraId="6A656909" w14:textId="77777777">
      <w:pPr>
        <w:spacing w:after="0" w:line="240" w:lineRule="auto"/>
        <w:rPr>
          <w:rFonts w:cs="Arial"/>
          <w:sz w:val="24"/>
          <w:szCs w:val="24"/>
        </w:rPr>
      </w:pPr>
    </w:p>
    <w:p w:rsidRPr="00E956E9" w:rsidR="00CC5B55" w:rsidP="00580440" w:rsidRDefault="007D16C9" w14:paraId="1AD933A9" w14:textId="77777777" w14:noSpellErr="1">
      <w:pPr>
        <w:numPr>
          <w:ilvl w:val="1"/>
          <w:numId w:val="15"/>
        </w:numPr>
        <w:spacing w:after="0" w:line="240" w:lineRule="auto"/>
        <w:ind w:left="360"/>
        <w:rPr>
          <w:sz w:val="24"/>
          <w:szCs w:val="24"/>
          <w:u w:val="single"/>
        </w:rPr>
      </w:pPr>
      <w:r w:rsidRPr="2D7ABE1E" w:rsidR="2D7ABE1E">
        <w:rPr>
          <w:rFonts w:ascii="Calibri" w:hAnsi="Calibri" w:eastAsia="Calibri" w:cs="Calibri"/>
          <w:sz w:val="24"/>
          <w:szCs w:val="24"/>
        </w:rPr>
        <w:t xml:space="preserve">While </w:t>
      </w:r>
      <w:r w:rsidRPr="2D7ABE1E" w:rsidR="2D7ABE1E">
        <w:rPr>
          <w:rFonts w:ascii="Calibri" w:hAnsi="Calibri" w:eastAsia="Calibri" w:cs="Calibri"/>
          <w:sz w:val="24"/>
          <w:szCs w:val="24"/>
        </w:rPr>
        <w:t>some</w:t>
      </w:r>
      <w:r w:rsidRPr="2D7ABE1E" w:rsidR="2D7ABE1E">
        <w:rPr>
          <w:rFonts w:ascii="Calibri" w:hAnsi="Calibri" w:eastAsia="Calibri" w:cs="Calibri"/>
          <w:sz w:val="24"/>
          <w:szCs w:val="24"/>
        </w:rPr>
        <w:t xml:space="preserve"> plans </w:t>
      </w:r>
      <w:r w:rsidRPr="2D7ABE1E" w:rsidR="2D7ABE1E">
        <w:rPr>
          <w:rFonts w:ascii="Calibri" w:hAnsi="Calibri" w:eastAsia="Calibri" w:cs="Calibri"/>
          <w:sz w:val="24"/>
          <w:szCs w:val="24"/>
        </w:rPr>
        <w:t>are not subject to state law,</w:t>
      </w:r>
      <w:r w:rsidRPr="2D7ABE1E" w:rsidR="2D7ABE1E">
        <w:rPr>
          <w:rFonts w:ascii="Calibri" w:hAnsi="Calibri" w:eastAsia="Calibri" w:cs="Calibri"/>
          <w:sz w:val="24"/>
          <w:szCs w:val="24"/>
        </w:rPr>
        <w:t xml:space="preserve"> there remains a significant number of plans in our state that would be subject to – and improved by – </w:t>
      </w:r>
      <w:r w:rsidRPr="2D7ABE1E" w:rsidR="2D7ABE1E">
        <w:rPr>
          <w:rFonts w:ascii="Calibri" w:hAnsi="Calibri" w:eastAsia="Calibri" w:cs="Calibri"/>
          <w:sz w:val="24"/>
          <w:szCs w:val="24"/>
        </w:rPr>
        <w:t xml:space="preserve">this bill. </w:t>
      </w:r>
      <w:r w:rsidRPr="2D7ABE1E" w:rsidR="2D7ABE1E">
        <w:rPr>
          <w:rFonts w:ascii="Calibri" w:hAnsi="Calibri" w:eastAsia="Calibri" w:cs="Calibri"/>
          <w:sz w:val="24"/>
          <w:szCs w:val="24"/>
        </w:rPr>
        <w:t xml:space="preserve">Patients covered by those </w:t>
      </w:r>
      <w:r w:rsidRPr="2D7ABE1E" w:rsidR="2D7ABE1E">
        <w:rPr>
          <w:rFonts w:ascii="Calibri" w:hAnsi="Calibri" w:eastAsia="Calibri" w:cs="Calibri"/>
          <w:sz w:val="24"/>
          <w:szCs w:val="24"/>
        </w:rPr>
        <w:t xml:space="preserve">plans should have the benefit of affordable cancer treatment, as do patients in </w:t>
      </w:r>
      <w:r w:rsidRPr="2D7ABE1E" w:rsidR="2D7ABE1E">
        <w:rPr>
          <w:rFonts w:ascii="Calibri" w:hAnsi="Calibri" w:eastAsia="Calibri" w:cs="Calibri"/>
          <w:sz w:val="24"/>
          <w:szCs w:val="24"/>
        </w:rPr>
        <w:t xml:space="preserve">the states where parity has been enacted. </w:t>
      </w:r>
      <w:r w:rsidRPr="2D7ABE1E" w:rsidR="2D7ABE1E">
        <w:rPr>
          <w:rFonts w:ascii="Calibri" w:hAnsi="Calibri" w:eastAsia="Calibri" w:cs="Calibri"/>
          <w:sz w:val="24"/>
          <w:szCs w:val="24"/>
        </w:rPr>
        <w:t xml:space="preserve">  </w:t>
      </w:r>
    </w:p>
    <w:p w:rsidRPr="00E956E9" w:rsidR="00970251" w:rsidP="00580440" w:rsidRDefault="00970251" w14:paraId="159F3659" w14:textId="77777777" w14:noSpellErr="1">
      <w:pPr>
        <w:numPr>
          <w:ilvl w:val="1"/>
          <w:numId w:val="15"/>
        </w:numPr>
        <w:spacing w:after="0" w:line="240" w:lineRule="auto"/>
        <w:ind w:left="360"/>
        <w:rPr>
          <w:sz w:val="24"/>
          <w:szCs w:val="24"/>
        </w:rPr>
      </w:pPr>
      <w:r w:rsidRPr="2D7ABE1E" w:rsidR="2D7ABE1E">
        <w:rPr>
          <w:rFonts w:ascii="Calibri" w:hAnsi="Calibri" w:eastAsia="Calibri" w:cs="Calibri"/>
          <w:sz w:val="24"/>
          <w:szCs w:val="24"/>
        </w:rPr>
        <w:t>Oftentimes, the federal government does not take action on a particular</w:t>
      </w:r>
      <w:r w:rsidRPr="2D7ABE1E" w:rsidR="2D7ABE1E">
        <w:rPr>
          <w:rFonts w:ascii="Calibri" w:hAnsi="Calibri" w:eastAsia="Calibri" w:cs="Calibri"/>
          <w:sz w:val="24"/>
          <w:szCs w:val="24"/>
        </w:rPr>
        <w:t xml:space="preserve"> issue until after a signi</w:t>
      </w:r>
      <w:r w:rsidRPr="2D7ABE1E" w:rsidR="2D7ABE1E">
        <w:rPr>
          <w:rFonts w:ascii="Calibri" w:hAnsi="Calibri" w:eastAsia="Calibri" w:cs="Calibri"/>
          <w:sz w:val="24"/>
          <w:szCs w:val="24"/>
        </w:rPr>
        <w:t>ficant number of</w:t>
      </w:r>
      <w:r w:rsidRPr="2D7ABE1E" w:rsidR="2D7ABE1E">
        <w:rPr>
          <w:rFonts w:ascii="Calibri" w:hAnsi="Calibri" w:eastAsia="Calibri" w:cs="Calibri"/>
          <w:sz w:val="24"/>
          <w:szCs w:val="24"/>
        </w:rPr>
        <w:t xml:space="preserve"> states has</w:t>
      </w:r>
      <w:r w:rsidRPr="2D7ABE1E" w:rsidR="2D7ABE1E">
        <w:rPr>
          <w:rFonts w:ascii="Calibri" w:hAnsi="Calibri" w:eastAsia="Calibri" w:cs="Calibri"/>
          <w:sz w:val="24"/>
          <w:szCs w:val="24"/>
        </w:rPr>
        <w:t xml:space="preserve"> done so; in that way, state action is absolutely critical to achieving this policy change for plans</w:t>
      </w:r>
      <w:r w:rsidRPr="2D7ABE1E" w:rsidR="2D7ABE1E">
        <w:rPr>
          <w:rFonts w:ascii="Calibri" w:hAnsi="Calibri" w:eastAsia="Calibri" w:cs="Calibri"/>
          <w:sz w:val="24"/>
          <w:szCs w:val="24"/>
        </w:rPr>
        <w:t xml:space="preserve"> that are subject only to federal law</w:t>
      </w:r>
      <w:r w:rsidRPr="2D7ABE1E" w:rsidR="2D7ABE1E">
        <w:rPr>
          <w:rFonts w:ascii="Calibri" w:hAnsi="Calibri" w:eastAsia="Calibri" w:cs="Calibri"/>
          <w:sz w:val="24"/>
          <w:szCs w:val="24"/>
        </w:rPr>
        <w:t xml:space="preserve">. </w:t>
      </w:r>
    </w:p>
    <w:p w:rsidRPr="00E956E9" w:rsidR="00CC5B55" w:rsidP="00580440" w:rsidRDefault="2D8A2D21" w14:paraId="01396185" w14:textId="77777777" w14:noSpellErr="1">
      <w:pPr>
        <w:numPr>
          <w:ilvl w:val="1"/>
          <w:numId w:val="15"/>
        </w:numPr>
        <w:spacing w:after="0" w:line="240" w:lineRule="auto"/>
        <w:ind w:left="360"/>
        <w:rPr>
          <w:sz w:val="24"/>
          <w:szCs w:val="24"/>
        </w:rPr>
      </w:pPr>
      <w:r w:rsidRPr="2D7ABE1E" w:rsidR="2D7ABE1E">
        <w:rPr>
          <w:rFonts w:ascii="Calibri" w:hAnsi="Calibri" w:eastAsia="Calibri" w:cs="Calibri"/>
          <w:sz w:val="24"/>
          <w:szCs w:val="24"/>
        </w:rPr>
        <w:t>In some states where parity has been enacted, insurers have chosen to extend parity to their federally-regulated plans as well. Thus, establishing parity in state law can have a positive domino effect on other plans in the state.</w:t>
      </w:r>
      <w:r w:rsidRPr="2D7ABE1E" w:rsidR="2D7ABE1E">
        <w:rPr>
          <w:rFonts w:ascii="Calibri" w:hAnsi="Calibri" w:eastAsia="Calibri" w:cs="Calibri"/>
          <w:sz w:val="24"/>
          <w:szCs w:val="24"/>
        </w:rPr>
        <w:t xml:space="preserve">   </w:t>
      </w:r>
    </w:p>
    <w:p w:rsidRPr="00E956E9" w:rsidR="00CE4D3B" w:rsidP="00580440" w:rsidRDefault="00CE4D3B" w14:paraId="0764ED1F" w14:textId="77777777">
      <w:pPr>
        <w:spacing w:after="0" w:line="240" w:lineRule="auto"/>
        <w:rPr>
          <w:b/>
          <w:sz w:val="24"/>
          <w:szCs w:val="24"/>
        </w:rPr>
      </w:pPr>
    </w:p>
    <w:p w:rsidR="00E12697" w:rsidP="00580440" w:rsidRDefault="00D55E56" w14:paraId="11B5C6DD" w14:textId="77777777" w14:noSpellErr="1">
      <w:pPr>
        <w:spacing w:after="0" w:line="240" w:lineRule="auto"/>
        <w:rPr>
          <w:b/>
          <w:sz w:val="24"/>
          <w:szCs w:val="24"/>
        </w:rPr>
      </w:pPr>
      <w:r w:rsidRPr="2D7ABE1E" w:rsidR="2D7ABE1E">
        <w:rPr>
          <w:rFonts w:ascii="Calibri" w:hAnsi="Calibri" w:eastAsia="Calibri" w:cs="Calibri"/>
          <w:b w:val="1"/>
          <w:bCs w:val="1"/>
          <w:sz w:val="24"/>
          <w:szCs w:val="24"/>
        </w:rPr>
        <w:t>“</w:t>
      </w:r>
      <w:r w:rsidRPr="2D7ABE1E" w:rsidR="2D7ABE1E">
        <w:rPr>
          <w:rFonts w:ascii="Calibri" w:hAnsi="Calibri" w:eastAsia="Calibri" w:cs="Calibri"/>
          <w:b w:val="1"/>
          <w:bCs w:val="1"/>
          <w:sz w:val="24"/>
          <w:szCs w:val="24"/>
        </w:rPr>
        <w:t xml:space="preserve">Insurers have not heard from their customers </w:t>
      </w:r>
      <w:r w:rsidRPr="2D7ABE1E" w:rsidR="2D7ABE1E">
        <w:rPr>
          <w:rFonts w:ascii="Calibri" w:hAnsi="Calibri" w:eastAsia="Calibri" w:cs="Calibri"/>
          <w:b w:val="1"/>
          <w:bCs w:val="1"/>
          <w:sz w:val="24"/>
          <w:szCs w:val="24"/>
        </w:rPr>
        <w:t>that this is in fact a problem.”</w:t>
      </w:r>
    </w:p>
    <w:p w:rsidRPr="00E956E9" w:rsidR="00BE7C93" w:rsidP="00580440" w:rsidRDefault="00BE7C93" w14:paraId="4990438C" w14:textId="77777777">
      <w:pPr>
        <w:spacing w:after="0" w:line="240" w:lineRule="auto"/>
        <w:rPr>
          <w:b/>
          <w:sz w:val="24"/>
          <w:szCs w:val="24"/>
        </w:rPr>
      </w:pPr>
    </w:p>
    <w:p w:rsidRPr="00E956E9" w:rsidR="00675677" w:rsidP="00B71D62" w:rsidRDefault="00675677" w14:paraId="0B2E0BB5" w14:textId="77777777" w14:noSpellErr="1">
      <w:pPr>
        <w:numPr>
          <w:ilvl w:val="1"/>
          <w:numId w:val="15"/>
        </w:numPr>
        <w:spacing w:after="0" w:line="240" w:lineRule="auto"/>
        <w:ind w:left="360"/>
        <w:rPr>
          <w:sz w:val="24"/>
          <w:szCs w:val="24"/>
        </w:rPr>
      </w:pPr>
      <w:r w:rsidRPr="2D7ABE1E" w:rsidR="2D7ABE1E">
        <w:rPr>
          <w:rFonts w:ascii="Calibri" w:hAnsi="Calibri" w:eastAsia="Calibri" w:cs="Calibri"/>
          <w:sz w:val="24"/>
          <w:szCs w:val="24"/>
        </w:rPr>
        <w:t xml:space="preserve">Every year, non-profit organizations receive </w:t>
      </w:r>
      <w:r w:rsidRPr="2D7ABE1E" w:rsidR="2D7ABE1E">
        <w:rPr>
          <w:rFonts w:ascii="Calibri" w:hAnsi="Calibri" w:eastAsia="Calibri" w:cs="Calibri"/>
          <w:sz w:val="24"/>
          <w:szCs w:val="24"/>
        </w:rPr>
        <w:t xml:space="preserve">a </w:t>
      </w:r>
      <w:r w:rsidRPr="2D7ABE1E" w:rsidR="2D7ABE1E">
        <w:rPr>
          <w:rFonts w:ascii="Calibri" w:hAnsi="Calibri" w:eastAsia="Calibri" w:cs="Calibri"/>
          <w:sz w:val="24"/>
          <w:szCs w:val="24"/>
        </w:rPr>
        <w:t xml:space="preserve">high </w:t>
      </w:r>
      <w:r w:rsidRPr="2D7ABE1E" w:rsidR="2D7ABE1E">
        <w:rPr>
          <w:rFonts w:ascii="Calibri" w:hAnsi="Calibri" w:eastAsia="Calibri" w:cs="Calibri"/>
          <w:sz w:val="24"/>
          <w:szCs w:val="24"/>
        </w:rPr>
        <w:t>volume</w:t>
      </w:r>
      <w:r w:rsidRPr="2D7ABE1E" w:rsidR="2D7ABE1E">
        <w:rPr>
          <w:rFonts w:ascii="Calibri" w:hAnsi="Calibri" w:eastAsia="Calibri" w:cs="Calibri"/>
          <w:sz w:val="24"/>
          <w:szCs w:val="24"/>
        </w:rPr>
        <w:t xml:space="preserve"> of requests for financial assistance</w:t>
      </w:r>
      <w:r w:rsidRPr="2D7ABE1E" w:rsidR="2D7ABE1E">
        <w:rPr>
          <w:rFonts w:ascii="Calibri" w:hAnsi="Calibri" w:eastAsia="Calibri" w:cs="Calibri"/>
          <w:sz w:val="24"/>
          <w:szCs w:val="24"/>
        </w:rPr>
        <w:t xml:space="preserve"> </w:t>
      </w:r>
      <w:r w:rsidRPr="2D7ABE1E" w:rsidR="2D7ABE1E">
        <w:rPr>
          <w:rFonts w:ascii="Calibri" w:hAnsi="Calibri" w:eastAsia="Calibri" w:cs="Calibri"/>
          <w:sz w:val="24"/>
          <w:szCs w:val="24"/>
        </w:rPr>
        <w:t xml:space="preserve">from cancer patients who </w:t>
      </w:r>
      <w:r w:rsidRPr="2D7ABE1E" w:rsidR="2D7ABE1E">
        <w:rPr>
          <w:rFonts w:ascii="Calibri" w:hAnsi="Calibri" w:eastAsia="Calibri" w:cs="Calibri"/>
          <w:sz w:val="24"/>
          <w:szCs w:val="24"/>
        </w:rPr>
        <w:t>need help paying the cost-share required for their treatment medications</w:t>
      </w:r>
      <w:r w:rsidRPr="2D7ABE1E" w:rsidR="2D7ABE1E">
        <w:rPr>
          <w:rFonts w:ascii="Calibri" w:hAnsi="Calibri" w:eastAsia="Calibri" w:cs="Calibri"/>
          <w:sz w:val="24"/>
          <w:szCs w:val="24"/>
        </w:rPr>
        <w:t xml:space="preserve">. This is clear evidence that patients are experiencing out-of-pocket costs that prohibit </w:t>
      </w:r>
      <w:r w:rsidRPr="2D7ABE1E" w:rsidR="2D7ABE1E">
        <w:rPr>
          <w:rFonts w:ascii="Calibri" w:hAnsi="Calibri" w:eastAsia="Calibri" w:cs="Calibri"/>
          <w:sz w:val="24"/>
          <w:szCs w:val="24"/>
        </w:rPr>
        <w:t>–rather than facilitate—a</w:t>
      </w:r>
      <w:r w:rsidRPr="2D7ABE1E" w:rsidR="2D7ABE1E">
        <w:rPr>
          <w:rFonts w:ascii="Calibri" w:hAnsi="Calibri" w:eastAsia="Calibri" w:cs="Calibri"/>
          <w:sz w:val="24"/>
          <w:szCs w:val="24"/>
        </w:rPr>
        <w:t>ccess to treatment.</w:t>
      </w:r>
    </w:p>
    <w:p w:rsidRPr="00BE7C93" w:rsidR="00675677" w:rsidP="2D7ABE1E" w:rsidRDefault="00EA2DAD" w14:paraId="682F70B4" w14:textId="77777777" w14:noSpellErr="1">
      <w:pPr>
        <w:pStyle w:val="ListParagraph"/>
        <w:numPr>
          <w:ilvl w:val="0"/>
          <w:numId w:val="16"/>
        </w:numPr>
        <w:spacing w:after="0" w:line="240" w:lineRule="auto"/>
        <w:ind w:left="360"/>
        <w:contextualSpacing w:val="0"/>
        <w:rPr>
          <w:b w:val="1"/>
          <w:bCs w:val="1"/>
          <w:sz w:val="24"/>
          <w:szCs w:val="24"/>
        </w:rPr>
      </w:pPr>
      <w:r w:rsidRPr="2D7ABE1E" w:rsidR="2D7ABE1E">
        <w:rPr>
          <w:rFonts w:ascii="Calibri" w:hAnsi="Calibri" w:eastAsia="Calibri" w:cs="Calibri"/>
          <w:sz w:val="24"/>
          <w:szCs w:val="24"/>
        </w:rPr>
        <w:t xml:space="preserve">The volume of complaints that insurers receive should not be interpreted as an accurate measure of the number of patients </w:t>
      </w:r>
      <w:r w:rsidRPr="2D7ABE1E" w:rsidR="2D7ABE1E">
        <w:rPr>
          <w:rFonts w:ascii="Calibri" w:hAnsi="Calibri" w:eastAsia="Calibri" w:cs="Calibri"/>
          <w:sz w:val="24"/>
          <w:szCs w:val="24"/>
        </w:rPr>
        <w:t>having trouble</w:t>
      </w:r>
      <w:r w:rsidRPr="2D7ABE1E" w:rsidR="2D7ABE1E">
        <w:rPr>
          <w:rFonts w:ascii="Calibri" w:hAnsi="Calibri" w:eastAsia="Calibri" w:cs="Calibri"/>
          <w:sz w:val="24"/>
          <w:szCs w:val="24"/>
        </w:rPr>
        <w:t xml:space="preserve"> accessing a needed medication. Many patients—rather than contact their insurer—will simply turn down a medication at the pharmacy or ask their doctor to suggest treatment alternatives with a lower out-of-pocket cost, even if the alternative offers a lower potential medical benefi</w:t>
      </w:r>
      <w:r w:rsidRPr="2D7ABE1E" w:rsidR="2D7ABE1E">
        <w:rPr>
          <w:rFonts w:ascii="Calibri" w:hAnsi="Calibri" w:eastAsia="Calibri" w:cs="Calibri"/>
          <w:sz w:val="24"/>
          <w:szCs w:val="24"/>
        </w:rPr>
        <w:t>t.</w:t>
      </w:r>
    </w:p>
    <w:p w:rsidRPr="009F5143" w:rsidR="00543B93" w:rsidP="009F5143" w:rsidRDefault="00543B93" w14:paraId="6FA1D011" w14:textId="77777777">
      <w:pPr>
        <w:spacing w:after="0" w:line="240" w:lineRule="auto"/>
        <w:rPr>
          <w:b/>
          <w:sz w:val="24"/>
          <w:szCs w:val="24"/>
          <w:u w:val="single"/>
        </w:rPr>
      </w:pPr>
    </w:p>
    <w:p w:rsidRPr="009F5143" w:rsidR="009F5143" w:rsidP="009F5143" w:rsidRDefault="00D55E56" w14:paraId="0CC7B19F" w14:textId="77777777" w14:noSpellErr="1">
      <w:pPr>
        <w:spacing w:after="0" w:line="240" w:lineRule="auto"/>
        <w:rPr>
          <w:b/>
          <w:sz w:val="24"/>
          <w:szCs w:val="24"/>
        </w:rPr>
      </w:pPr>
      <w:r w:rsidRPr="2D7ABE1E" w:rsidR="2D7ABE1E">
        <w:rPr>
          <w:rFonts w:ascii="Calibri" w:hAnsi="Calibri" w:eastAsia="Calibri" w:cs="Calibri"/>
          <w:b w:val="1"/>
          <w:bCs w:val="1"/>
          <w:sz w:val="24"/>
          <w:szCs w:val="24"/>
        </w:rPr>
        <w:t>“</w:t>
      </w:r>
      <w:r w:rsidRPr="2D7ABE1E" w:rsidR="2D7ABE1E">
        <w:rPr>
          <w:rFonts w:ascii="Calibri" w:hAnsi="Calibri" w:eastAsia="Calibri" w:cs="Calibri"/>
          <w:b w:val="1"/>
          <w:bCs w:val="1"/>
          <w:sz w:val="24"/>
          <w:szCs w:val="24"/>
        </w:rPr>
        <w:t xml:space="preserve">This bill is focused on nothing more than forcing insurers to cover more </w:t>
      </w:r>
      <w:r w:rsidRPr="2D7ABE1E" w:rsidR="2D7ABE1E">
        <w:rPr>
          <w:rFonts w:ascii="Calibri" w:hAnsi="Calibri" w:eastAsia="Calibri" w:cs="Calibri"/>
          <w:b w:val="1"/>
          <w:bCs w:val="1"/>
          <w:sz w:val="24"/>
          <w:szCs w:val="24"/>
        </w:rPr>
        <w:t>‘</w:t>
      </w:r>
      <w:r w:rsidRPr="2D7ABE1E" w:rsidR="2D7ABE1E">
        <w:rPr>
          <w:rFonts w:ascii="Calibri" w:hAnsi="Calibri" w:eastAsia="Calibri" w:cs="Calibri"/>
          <w:b w:val="1"/>
          <w:bCs w:val="1"/>
          <w:sz w:val="24"/>
          <w:szCs w:val="24"/>
        </w:rPr>
        <w:t>convenient</w:t>
      </w:r>
      <w:r w:rsidRPr="2D7ABE1E" w:rsidR="2D7ABE1E">
        <w:rPr>
          <w:rFonts w:ascii="Calibri" w:hAnsi="Calibri" w:eastAsia="Calibri" w:cs="Calibri"/>
          <w:b w:val="1"/>
          <w:bCs w:val="1"/>
          <w:sz w:val="24"/>
          <w:szCs w:val="24"/>
        </w:rPr>
        <w:t>’</w:t>
      </w:r>
      <w:r w:rsidRPr="2D7ABE1E" w:rsidR="2D7ABE1E">
        <w:rPr>
          <w:rFonts w:ascii="Calibri" w:hAnsi="Calibri" w:eastAsia="Calibri" w:cs="Calibri"/>
          <w:b w:val="1"/>
          <w:bCs w:val="1"/>
          <w:sz w:val="24"/>
          <w:szCs w:val="24"/>
        </w:rPr>
        <w:t xml:space="preserve"> treatment options.</w:t>
      </w:r>
      <w:r w:rsidRPr="2D7ABE1E" w:rsidR="2D7ABE1E">
        <w:rPr>
          <w:rFonts w:ascii="Calibri" w:hAnsi="Calibri" w:eastAsia="Calibri" w:cs="Calibri"/>
          <w:b w:val="1"/>
          <w:bCs w:val="1"/>
          <w:sz w:val="24"/>
          <w:szCs w:val="24"/>
        </w:rPr>
        <w:t>”</w:t>
      </w:r>
      <w:r w:rsidRPr="2D7ABE1E" w:rsidR="2D7ABE1E">
        <w:rPr>
          <w:rFonts w:ascii="Calibri" w:hAnsi="Calibri" w:eastAsia="Calibri" w:cs="Calibri"/>
          <w:b w:val="1"/>
          <w:bCs w:val="1"/>
          <w:sz w:val="24"/>
          <w:szCs w:val="24"/>
        </w:rPr>
        <w:t xml:space="preserve"> </w:t>
      </w:r>
    </w:p>
    <w:p w:rsidR="009F5143" w:rsidP="009F5143" w:rsidRDefault="009F5143" w14:paraId="76B8D6E2" w14:textId="77777777">
      <w:pPr>
        <w:pStyle w:val="ListParagraph"/>
        <w:spacing w:after="0" w:line="240" w:lineRule="auto"/>
        <w:ind w:left="360"/>
        <w:contextualSpacing w:val="0"/>
        <w:rPr>
          <w:sz w:val="24"/>
          <w:szCs w:val="24"/>
        </w:rPr>
      </w:pPr>
    </w:p>
    <w:p w:rsidR="009F5143" w:rsidP="009F5143" w:rsidRDefault="009F5143" w14:paraId="65687C7F" w14:textId="77777777" w14:noSpellErr="1">
      <w:pPr>
        <w:pStyle w:val="ListParagraph"/>
        <w:numPr>
          <w:ilvl w:val="0"/>
          <w:numId w:val="26"/>
        </w:numPr>
        <w:spacing w:after="0" w:line="240" w:lineRule="auto"/>
        <w:contextualSpacing w:val="0"/>
        <w:rPr>
          <w:sz w:val="24"/>
          <w:szCs w:val="24"/>
        </w:rPr>
      </w:pPr>
      <w:r w:rsidRPr="2D7ABE1E" w:rsidR="2D7ABE1E">
        <w:rPr>
          <w:rFonts w:ascii="Calibri" w:hAnsi="Calibri" w:eastAsia="Calibri" w:cs="Calibri"/>
          <w:sz w:val="24"/>
          <w:szCs w:val="24"/>
        </w:rPr>
        <w:t xml:space="preserve">A patient’s treatment plan is determined by medical necessity – not ‘choice’ or ‘convenience.’ What’s more, nearly all of the oral anticancer drugs currently in use do not have an IV equivalent. In other words, then, a so-called ‘choice’ in treatment does not </w:t>
      </w:r>
      <w:r w:rsidRPr="2D7ABE1E" w:rsidR="2D7ABE1E">
        <w:rPr>
          <w:rFonts w:ascii="Calibri" w:hAnsi="Calibri" w:eastAsia="Calibri" w:cs="Calibri"/>
          <w:sz w:val="24"/>
          <w:szCs w:val="24"/>
        </w:rPr>
        <w:t xml:space="preserve">even </w:t>
      </w:r>
      <w:r w:rsidRPr="2D7ABE1E" w:rsidR="2D7ABE1E">
        <w:rPr>
          <w:rFonts w:ascii="Calibri" w:hAnsi="Calibri" w:eastAsia="Calibri" w:cs="Calibri"/>
          <w:sz w:val="24"/>
          <w:szCs w:val="24"/>
        </w:rPr>
        <w:t xml:space="preserve">exist for the vast majority of patients. </w:t>
      </w:r>
    </w:p>
    <w:p w:rsidRPr="009F5143" w:rsidR="009F5143" w:rsidP="009F5143" w:rsidRDefault="009F5143" w14:paraId="564EBEDE" w14:textId="77777777">
      <w:pPr>
        <w:pStyle w:val="ListParagraph"/>
        <w:spacing w:after="0" w:line="240" w:lineRule="auto"/>
        <w:ind w:left="360"/>
        <w:contextualSpacing w:val="0"/>
        <w:rPr>
          <w:sz w:val="24"/>
          <w:szCs w:val="24"/>
        </w:rPr>
      </w:pPr>
    </w:p>
    <w:p w:rsidRPr="009F5143" w:rsidR="004B1761" w:rsidP="009F5143" w:rsidRDefault="00D55E56" w14:paraId="41B277FB" w14:textId="77777777" w14:noSpellErr="1">
      <w:pPr>
        <w:spacing w:after="0" w:line="240" w:lineRule="auto"/>
        <w:rPr>
          <w:rStyle w:val="A0"/>
          <w:b/>
          <w:sz w:val="24"/>
          <w:szCs w:val="24"/>
        </w:rPr>
      </w:pPr>
      <w:r w:rsidRPr="2D7ABE1E" w:rsidR="2D7ABE1E">
        <w:rPr>
          <w:rStyle w:val="A0"/>
          <w:rFonts w:ascii="Calibri" w:hAnsi="Calibri" w:eastAsia="Calibri" w:cs="Calibri"/>
          <w:b w:val="1"/>
          <w:bCs w:val="1"/>
          <w:sz w:val="24"/>
          <w:szCs w:val="24"/>
        </w:rPr>
        <w:t>“</w:t>
      </w:r>
      <w:r w:rsidRPr="2D7ABE1E" w:rsidR="2D7ABE1E">
        <w:rPr>
          <w:rStyle w:val="A0"/>
          <w:rFonts w:ascii="Calibri" w:hAnsi="Calibri" w:eastAsia="Calibri" w:cs="Calibri"/>
          <w:b w:val="1"/>
          <w:bCs w:val="1"/>
          <w:sz w:val="24"/>
          <w:szCs w:val="24"/>
        </w:rPr>
        <w:t>Does the bill ensure that patients who take oral anticancer medications at home are correctly taking those medications?</w:t>
      </w:r>
      <w:r w:rsidRPr="2D7ABE1E" w:rsidR="2D7ABE1E">
        <w:rPr>
          <w:rStyle w:val="A0"/>
          <w:rFonts w:ascii="Calibri" w:hAnsi="Calibri" w:eastAsia="Calibri" w:cs="Calibri"/>
          <w:b w:val="1"/>
          <w:bCs w:val="1"/>
          <w:sz w:val="24"/>
          <w:szCs w:val="24"/>
        </w:rPr>
        <w:t>”</w:t>
      </w:r>
    </w:p>
    <w:p w:rsidRPr="00E956E9" w:rsidR="004B1761" w:rsidP="004B1761" w:rsidRDefault="004B1761" w14:paraId="5C39488E" w14:textId="77777777">
      <w:pPr>
        <w:spacing w:after="0" w:line="240" w:lineRule="auto"/>
        <w:rPr>
          <w:rStyle w:val="A0"/>
          <w:b/>
          <w:sz w:val="24"/>
          <w:szCs w:val="24"/>
        </w:rPr>
      </w:pPr>
    </w:p>
    <w:p w:rsidRPr="00580440" w:rsidR="004B1761" w:rsidP="004B1761" w:rsidRDefault="004B1761" w14:paraId="6B870DEB" w14:textId="77777777" w14:noSpellErr="1">
      <w:pPr>
        <w:pStyle w:val="ListParagraph"/>
        <w:numPr>
          <w:ilvl w:val="0"/>
          <w:numId w:val="18"/>
        </w:numPr>
        <w:spacing w:after="0" w:line="240" w:lineRule="auto"/>
        <w:contextualSpacing w:val="0"/>
        <w:rPr>
          <w:color w:val="000000"/>
          <w:sz w:val="24"/>
          <w:szCs w:val="24"/>
        </w:rPr>
      </w:pPr>
      <w:r w:rsidRPr="2D7ABE1E" w:rsidR="2D7ABE1E">
        <w:rPr>
          <w:rFonts w:ascii="Calibri" w:hAnsi="Calibri" w:eastAsia="Calibri" w:cs="Calibri"/>
          <w:color w:val="000000" w:themeColor="text1" w:themeTint="FF" w:themeShade="FF"/>
          <w:sz w:val="24"/>
          <w:szCs w:val="24"/>
        </w:rPr>
        <w:t xml:space="preserve">The concern behind </w:t>
      </w:r>
      <w:r w:rsidRPr="2D7ABE1E" w:rsidR="2D7ABE1E">
        <w:rPr>
          <w:rFonts w:ascii="Calibri" w:hAnsi="Calibri" w:eastAsia="Calibri" w:cs="Calibri"/>
          <w:color w:val="000000" w:themeColor="text1" w:themeTint="FF" w:themeShade="FF"/>
          <w:sz w:val="24"/>
          <w:szCs w:val="24"/>
        </w:rPr>
        <w:t>this bill</w:t>
      </w:r>
      <w:r w:rsidRPr="2D7ABE1E" w:rsidR="2D7ABE1E">
        <w:rPr>
          <w:rFonts w:ascii="Calibri" w:hAnsi="Calibri" w:eastAsia="Calibri" w:cs="Calibri"/>
          <w:color w:val="000000" w:themeColor="text1" w:themeTint="FF" w:themeShade="FF"/>
          <w:sz w:val="24"/>
          <w:szCs w:val="24"/>
        </w:rPr>
        <w:t xml:space="preserve"> is prohibitive cost-sharing, not patient skill or awareness. It’s within the scope of practice of a health care professional – not a legislator or insurer – to determine if/how patient skill and awareness should influence treatment decisions. </w:t>
      </w:r>
    </w:p>
    <w:p w:rsidRPr="00580440" w:rsidR="004B1761" w:rsidP="004B1761" w:rsidRDefault="004B1761" w14:paraId="7470362E" w14:textId="77777777" w14:noSpellErr="1">
      <w:pPr>
        <w:pStyle w:val="ListParagraph"/>
        <w:numPr>
          <w:ilvl w:val="0"/>
          <w:numId w:val="18"/>
        </w:numPr>
        <w:spacing w:after="0" w:line="240" w:lineRule="auto"/>
        <w:contextualSpacing w:val="0"/>
        <w:rPr>
          <w:color w:val="000000"/>
          <w:sz w:val="24"/>
          <w:szCs w:val="24"/>
        </w:rPr>
      </w:pPr>
      <w:r w:rsidRPr="2D7ABE1E">
        <w:rPr>
          <w:rFonts w:ascii="Calibri" w:hAnsi="Calibri" w:eastAsia="Calibri" w:cs="Calibri"/>
          <w:color w:val="000000"/>
          <w:sz w:val="24"/>
          <w:szCs w:val="24"/>
        </w:rPr>
        <w:t>High cost-sharing has been shown by many studies to be a p</w:t>
      </w:r>
      <w:r w:rsidRPr="2D7ABE1E">
        <w:rPr>
          <w:rFonts w:ascii="Calibri" w:hAnsi="Calibri" w:eastAsia="Calibri" w:cs="Calibri"/>
          <w:color w:val="000000"/>
          <w:sz w:val="24"/>
          <w:szCs w:val="24"/>
        </w:rPr>
        <w:t xml:space="preserve">rimary driver in poor adherence. </w:t>
      </w:r>
      <w:r w:rsidRPr="2D7ABE1E">
        <w:rPr>
          <w:rFonts w:ascii="Calibri" w:hAnsi="Calibri" w:eastAsia="Calibri" w:cs="Calibri"/>
          <w:sz w:val="24"/>
          <w:szCs w:val="24"/>
        </w:rPr>
        <w:t>According to one recent study, when a cost-share exceeds $500, nearly 25% of patients abandon their treatment regimen.</w:t>
      </w:r>
      <w:r w:rsidRPr="2D7ABE1E">
        <w:rPr>
          <w:rStyle w:val="EndnoteReference"/>
          <w:rFonts w:ascii="Calibri" w:hAnsi="Calibri" w:eastAsia="Calibri" w:cs="Calibri"/>
          <w:sz w:val="24"/>
          <w:szCs w:val="24"/>
        </w:rPr>
        <w:endnoteReference w:id="5"/>
      </w:r>
      <w:r w:rsidRPr="2D7ABE1E">
        <w:rPr>
          <w:rFonts w:ascii="Calibri" w:hAnsi="Calibri" w:eastAsia="Calibri" w:cs="Calibri"/>
          <w:sz w:val="24"/>
          <w:szCs w:val="24"/>
        </w:rPr>
        <w:t xml:space="preserve"> Abandonment can lead to costly hospitalizations, the need for additional treatment, and disease progression. </w:t>
      </w:r>
    </w:p>
    <w:p w:rsidR="751E5D63" w:rsidP="751E5D63" w:rsidRDefault="751E5D63" w14:noSpellErr="1" w14:paraId="66B11384" w14:textId="4AC1C410">
      <w:pPr>
        <w:pStyle w:val="Normal"/>
        <w:spacing w:after="0" w:line="240" w:lineRule="auto"/>
      </w:pPr>
    </w:p>
    <w:p w:rsidR="751E5D63" w:rsidRDefault="751E5D63" w14:noSpellErr="1" w14:paraId="56D8A9BC" w14:textId="26EA2BFE">
      <w:hyperlink r:id="Rc51c30e5f4414de8">
        <w:r w:rsidRPr="751E5D63" w:rsidR="751E5D63">
          <w:rPr>
            <w:rStyle w:val="Hyperlink"/>
            <w:rFonts w:ascii="Times New Roman" w:hAnsi="Times New Roman" w:eastAsia="Times New Roman" w:cs="Times New Roman"/>
            <w:color w:val="FFFFFF" w:themeColor="background1" w:themeTint="FF" w:themeShade="FF"/>
            <w:sz w:val="24"/>
            <w:szCs w:val="24"/>
          </w:rPr>
          <w:t xml:space="preserve"> top</w:t>
        </w:r>
      </w:hyperlink>
    </w:p>
    <w:p w:rsidR="751E5D63" w:rsidRDefault="751E5D63" w14:noSpellErr="1" w14:paraId="7F8E52B6" w14:textId="526AC8A1">
      <w:r w:rsidRPr="751E5D63" w:rsidR="751E5D63">
        <w:rPr>
          <w:rFonts w:ascii="Georgia" w:hAnsi="Georgia" w:eastAsia="Georgia" w:cs="Georgia"/>
          <w:sz w:val="24"/>
          <w:szCs w:val="24"/>
        </w:rPr>
        <w:t>KFF</w:t>
      </w:r>
    </w:p>
    <w:p w:rsidR="751E5D63" w:rsidP="751E5D63" w:rsidRDefault="751E5D63" w14:noSpellErr="1" w14:paraId="78F80006" w14:textId="31444AD1">
      <w:pPr>
        <w:pStyle w:val="Heading6"/>
      </w:pPr>
      <w:hyperlink r:id="R60d9bdcac08f4c2a">
        <w:r w:rsidRPr="751E5D63" w:rsidR="751E5D63">
          <w:rPr>
            <w:rStyle w:val="Hyperlink"/>
            <w:b w:val="0"/>
            <w:bCs w:val="0"/>
            <w:color w:val="1A3863"/>
          </w:rPr>
          <w:t>Can I buy or change private health plan coverage outside of Open Enrollment?</w:t>
        </w:r>
      </w:hyperlink>
    </w:p>
    <w:p w:rsidR="751E5D63" w:rsidP="751E5D63" w:rsidRDefault="751E5D63" w14:noSpellErr="1" w14:paraId="38A1A23D" w14:textId="1D40888A">
      <w:pPr>
        <w:ind w:left="375"/>
      </w:pPr>
      <w:r w:rsidRPr="751E5D63" w:rsidR="751E5D63">
        <w:rPr>
          <w:rFonts w:ascii="Georgia" w:hAnsi="Georgia" w:eastAsia="Georgia" w:cs="Georgia"/>
          <w:sz w:val="24"/>
          <w:szCs w:val="24"/>
        </w:rPr>
        <w:t xml:space="preserve">In general, you can have a special enrollment opportunity to sign up for private, non-group coverage during the year, other than during Open Enrollment period, if you have a </w:t>
      </w:r>
      <w:r w:rsidRPr="751E5D63" w:rsidR="751E5D63">
        <w:rPr>
          <w:rFonts w:ascii="Georgia" w:hAnsi="Georgia" w:eastAsia="Georgia" w:cs="Georgia"/>
          <w:sz w:val="24"/>
          <w:szCs w:val="24"/>
          <w:highlight w:val="yellow"/>
        </w:rPr>
        <w:t>qualifying life eve</w:t>
      </w:r>
      <w:r w:rsidRPr="751E5D63" w:rsidR="751E5D63">
        <w:rPr>
          <w:rFonts w:ascii="Georgia" w:hAnsi="Georgia" w:eastAsia="Georgia" w:cs="Georgia"/>
          <w:sz w:val="24"/>
          <w:szCs w:val="24"/>
        </w:rPr>
        <w:t>nt. Events that trigger a special enrollment opportunity are:</w:t>
      </w:r>
    </w:p>
    <w:p w:rsidR="751E5D63" w:rsidP="751E5D63" w:rsidRDefault="751E5D63" w14:noSpellErr="1" w14:paraId="678B08C2" w14:textId="72344086">
      <w:pPr>
        <w:pStyle w:val="ListParagraph"/>
        <w:numPr>
          <w:ilvl w:val="1"/>
          <w:numId w:val="18"/>
        </w:numPr>
        <w:ind w:left="375"/>
        <w:rPr>
          <w:rFonts w:ascii="Calibri" w:hAnsi="Calibri" w:eastAsia="Calibri" w:cs="Calibri" w:asciiTheme="minorAscii" w:hAnsiTheme="minorAscii" w:eastAsiaTheme="minorAscii" w:cstheme="minorAscii"/>
          <w:sz w:val="22"/>
          <w:szCs w:val="22"/>
        </w:rPr>
      </w:pPr>
      <w:r w:rsidRPr="751E5D63" w:rsidR="751E5D63">
        <w:rPr>
          <w:rFonts w:ascii="Georgia" w:hAnsi="Georgia" w:eastAsia="Georgia" w:cs="Georgia"/>
          <w:sz w:val="24"/>
          <w:szCs w:val="24"/>
        </w:rPr>
        <w:t>Loss of eligibility for other coverage (for example if you quit your job or were laid off or if your hours were reduced, or if you lose student health coverage when you graduate) Note that loss of eligibility for other coverage because you didn’t pay premiums does not trigger a special enrollment opportunity</w:t>
      </w:r>
    </w:p>
    <w:p w:rsidR="751E5D63" w:rsidP="751E5D63" w:rsidRDefault="751E5D63" w14:noSpellErr="1" w14:paraId="3D4CF099" w14:textId="104AA099">
      <w:pPr>
        <w:pStyle w:val="ListParagraph"/>
        <w:numPr>
          <w:ilvl w:val="1"/>
          <w:numId w:val="18"/>
        </w:numPr>
        <w:ind w:left="375"/>
        <w:rPr>
          <w:rFonts w:ascii="Calibri" w:hAnsi="Calibri" w:eastAsia="Calibri" w:cs="Calibri" w:asciiTheme="minorAscii" w:hAnsiTheme="minorAscii" w:eastAsiaTheme="minorAscii" w:cstheme="minorAscii"/>
          <w:sz w:val="22"/>
          <w:szCs w:val="22"/>
        </w:rPr>
      </w:pPr>
      <w:r w:rsidRPr="751E5D63" w:rsidR="751E5D63">
        <w:rPr>
          <w:rFonts w:ascii="Georgia" w:hAnsi="Georgia" w:eastAsia="Georgia" w:cs="Georgia"/>
          <w:sz w:val="24"/>
          <w:szCs w:val="24"/>
        </w:rPr>
        <w:t>Gaining a dependent (for example, if you get married or give birth to or adopt a child). Note that pregnancy does NOT trigger a special enrollment opportunity.</w:t>
      </w:r>
    </w:p>
    <w:p w:rsidR="751E5D63" w:rsidP="751E5D63" w:rsidRDefault="751E5D63" w14:noSpellErr="1" w14:paraId="08C4D3B6" w14:textId="4EF059BE">
      <w:pPr>
        <w:pStyle w:val="ListParagraph"/>
        <w:numPr>
          <w:ilvl w:val="1"/>
          <w:numId w:val="18"/>
        </w:numPr>
        <w:ind w:left="375"/>
        <w:rPr>
          <w:rFonts w:ascii="Calibri" w:hAnsi="Calibri" w:eastAsia="Calibri" w:cs="Calibri" w:asciiTheme="minorAscii" w:hAnsiTheme="minorAscii" w:eastAsiaTheme="minorAscii" w:cstheme="minorAscii"/>
          <w:sz w:val="22"/>
          <w:szCs w:val="22"/>
        </w:rPr>
      </w:pPr>
      <w:r w:rsidRPr="751E5D63" w:rsidR="751E5D63">
        <w:rPr>
          <w:rFonts w:ascii="Georgia" w:hAnsi="Georgia" w:eastAsia="Georgia" w:cs="Georgia"/>
          <w:sz w:val="24"/>
          <w:szCs w:val="24"/>
        </w:rPr>
        <w:t>Loss of coverage due to divorce or legal separation</w:t>
      </w:r>
    </w:p>
    <w:p w:rsidR="751E5D63" w:rsidP="751E5D63" w:rsidRDefault="751E5D63" w14:noSpellErr="1" w14:paraId="34C318E8" w14:textId="1D8B023F">
      <w:pPr>
        <w:pStyle w:val="ListParagraph"/>
        <w:numPr>
          <w:ilvl w:val="1"/>
          <w:numId w:val="18"/>
        </w:numPr>
        <w:ind w:left="375"/>
        <w:rPr>
          <w:rFonts w:ascii="Calibri" w:hAnsi="Calibri" w:eastAsia="Calibri" w:cs="Calibri" w:asciiTheme="minorAscii" w:hAnsiTheme="minorAscii" w:eastAsiaTheme="minorAscii" w:cstheme="minorAscii"/>
          <w:sz w:val="22"/>
          <w:szCs w:val="22"/>
        </w:rPr>
      </w:pPr>
      <w:r w:rsidRPr="751E5D63" w:rsidR="751E5D63">
        <w:rPr>
          <w:rFonts w:ascii="Georgia" w:hAnsi="Georgia" w:eastAsia="Georgia" w:cs="Georgia"/>
          <w:sz w:val="24"/>
          <w:szCs w:val="24"/>
        </w:rPr>
        <w:t>Loss of dependent status (for example, “aging off” a parents’ plan when you turn 26)</w:t>
      </w:r>
    </w:p>
    <w:p w:rsidR="751E5D63" w:rsidP="751E5D63" w:rsidRDefault="751E5D63" w14:noSpellErr="1" w14:paraId="64EF9B35" w14:textId="419DE08C">
      <w:pPr>
        <w:pStyle w:val="ListParagraph"/>
        <w:numPr>
          <w:ilvl w:val="1"/>
          <w:numId w:val="18"/>
        </w:numPr>
        <w:ind w:left="375"/>
        <w:rPr>
          <w:rFonts w:ascii="Calibri" w:hAnsi="Calibri" w:eastAsia="Calibri" w:cs="Calibri" w:asciiTheme="minorAscii" w:hAnsiTheme="minorAscii" w:eastAsiaTheme="minorAscii" w:cstheme="minorAscii"/>
          <w:sz w:val="22"/>
          <w:szCs w:val="22"/>
        </w:rPr>
      </w:pPr>
      <w:r w:rsidRPr="751E5D63" w:rsidR="751E5D63">
        <w:rPr>
          <w:rFonts w:ascii="Georgia" w:hAnsi="Georgia" w:eastAsia="Georgia" w:cs="Georgia"/>
          <w:sz w:val="24"/>
          <w:szCs w:val="24"/>
        </w:rPr>
        <w:t>Moving to another state or within a state if you move outside of your health plan service area</w:t>
      </w:r>
    </w:p>
    <w:p w:rsidR="751E5D63" w:rsidP="751E5D63" w:rsidRDefault="751E5D63" w14:noSpellErr="1" w14:paraId="5E1702C2" w14:textId="34802181">
      <w:pPr>
        <w:pStyle w:val="ListParagraph"/>
        <w:numPr>
          <w:ilvl w:val="1"/>
          <w:numId w:val="18"/>
        </w:numPr>
        <w:ind w:left="375"/>
        <w:rPr>
          <w:rFonts w:ascii="Calibri" w:hAnsi="Calibri" w:eastAsia="Calibri" w:cs="Calibri" w:asciiTheme="minorAscii" w:hAnsiTheme="minorAscii" w:eastAsiaTheme="minorAscii" w:cstheme="minorAscii"/>
          <w:sz w:val="22"/>
          <w:szCs w:val="22"/>
        </w:rPr>
      </w:pPr>
      <w:r w:rsidRPr="751E5D63" w:rsidR="751E5D63">
        <w:rPr>
          <w:rFonts w:ascii="Georgia" w:hAnsi="Georgia" w:eastAsia="Georgia" w:cs="Georgia"/>
          <w:sz w:val="24"/>
          <w:szCs w:val="24"/>
        </w:rPr>
        <w:t>Exhaustion of COBRA coverage</w:t>
      </w:r>
    </w:p>
    <w:p w:rsidR="751E5D63" w:rsidP="751E5D63" w:rsidRDefault="751E5D63" w14:noSpellErr="1" w14:paraId="7890721A" w14:textId="5524D085">
      <w:pPr>
        <w:pStyle w:val="ListParagraph"/>
        <w:numPr>
          <w:ilvl w:val="1"/>
          <w:numId w:val="18"/>
        </w:numPr>
        <w:ind w:left="375"/>
        <w:rPr>
          <w:rFonts w:ascii="Calibri" w:hAnsi="Calibri" w:eastAsia="Calibri" w:cs="Calibri" w:asciiTheme="minorAscii" w:hAnsiTheme="minorAscii" w:eastAsiaTheme="minorAscii" w:cstheme="minorAscii"/>
          <w:sz w:val="22"/>
          <w:szCs w:val="22"/>
        </w:rPr>
      </w:pPr>
      <w:r w:rsidRPr="751E5D63" w:rsidR="751E5D63">
        <w:rPr>
          <w:rFonts w:ascii="Georgia" w:hAnsi="Georgia" w:eastAsia="Georgia" w:cs="Georgia"/>
          <w:sz w:val="24"/>
          <w:szCs w:val="24"/>
        </w:rPr>
        <w:t>Losing eligibility for Medicaid or the Children’s Health Insurance Program</w:t>
      </w:r>
    </w:p>
    <w:p w:rsidR="751E5D63" w:rsidP="751E5D63" w:rsidRDefault="751E5D63" w14:noSpellErr="1" w14:paraId="46DB340A" w14:textId="56B77A0B">
      <w:pPr>
        <w:pStyle w:val="ListParagraph"/>
        <w:numPr>
          <w:ilvl w:val="1"/>
          <w:numId w:val="18"/>
        </w:numPr>
        <w:ind w:left="375"/>
        <w:rPr>
          <w:rFonts w:ascii="Calibri" w:hAnsi="Calibri" w:eastAsia="Calibri" w:cs="Calibri" w:asciiTheme="minorAscii" w:hAnsiTheme="minorAscii" w:eastAsiaTheme="minorAscii" w:cstheme="minorAscii"/>
          <w:sz w:val="22"/>
          <w:szCs w:val="22"/>
        </w:rPr>
      </w:pPr>
      <w:r w:rsidRPr="751E5D63" w:rsidR="751E5D63">
        <w:rPr>
          <w:rFonts w:ascii="Georgia" w:hAnsi="Georgia" w:eastAsia="Georgia" w:cs="Georgia"/>
          <w:sz w:val="24"/>
          <w:szCs w:val="24"/>
        </w:rPr>
        <w:t>For people enrolled in a Marketplace plan, income increases or decreases enough to change your eligibility for subsidies</w:t>
      </w:r>
    </w:p>
    <w:p w:rsidR="751E5D63" w:rsidP="751E5D63" w:rsidRDefault="751E5D63" w14:noSpellErr="1" w14:paraId="0E5AE25E" w14:textId="10BFD28B">
      <w:pPr>
        <w:pStyle w:val="ListParagraph"/>
        <w:numPr>
          <w:ilvl w:val="1"/>
          <w:numId w:val="18"/>
        </w:numPr>
        <w:ind w:left="375"/>
        <w:rPr>
          <w:rFonts w:ascii="Calibri" w:hAnsi="Calibri" w:eastAsia="Calibri" w:cs="Calibri" w:asciiTheme="minorAscii" w:hAnsiTheme="minorAscii" w:eastAsiaTheme="minorAscii" w:cstheme="minorAscii"/>
          <w:sz w:val="22"/>
          <w:szCs w:val="22"/>
        </w:rPr>
      </w:pPr>
      <w:r w:rsidRPr="751E5D63" w:rsidR="751E5D63">
        <w:rPr>
          <w:rFonts w:ascii="Georgia" w:hAnsi="Georgia" w:eastAsia="Georgia" w:cs="Georgia"/>
          <w:sz w:val="24"/>
          <w:szCs w:val="24"/>
        </w:rPr>
        <w:t>Change in immigration status</w:t>
      </w:r>
    </w:p>
    <w:p w:rsidR="751E5D63" w:rsidP="751E5D63" w:rsidRDefault="751E5D63" w14:noSpellErr="1" w14:paraId="56D4E304" w14:textId="05A0B9FD">
      <w:pPr>
        <w:pStyle w:val="ListParagraph"/>
        <w:numPr>
          <w:ilvl w:val="1"/>
          <w:numId w:val="18"/>
        </w:numPr>
        <w:ind w:left="375"/>
        <w:rPr>
          <w:rFonts w:ascii="Calibri" w:hAnsi="Calibri" w:eastAsia="Calibri" w:cs="Calibri" w:asciiTheme="minorAscii" w:hAnsiTheme="minorAscii" w:eastAsiaTheme="minorAscii" w:cstheme="minorAscii"/>
          <w:sz w:val="22"/>
          <w:szCs w:val="22"/>
        </w:rPr>
      </w:pPr>
      <w:r w:rsidRPr="751E5D63" w:rsidR="751E5D63">
        <w:rPr>
          <w:rFonts w:ascii="Georgia" w:hAnsi="Georgia" w:eastAsia="Georgia" w:cs="Georgia"/>
          <w:sz w:val="24"/>
          <w:szCs w:val="24"/>
        </w:rPr>
        <w:t>Enrollment or eligibility error made by the Marketplace or another government agency or somebody, such as an assister, acting on their behalf.</w:t>
      </w:r>
    </w:p>
    <w:p w:rsidR="751E5D63" w:rsidP="751E5D63" w:rsidRDefault="751E5D63" w14:noSpellErr="1" w14:paraId="5EAA9349" w14:textId="3EC7A958">
      <w:pPr>
        <w:numPr>
          <w:ilvl w:val="0"/>
          <w:numId w:val="18"/>
        </w:numPr>
        <w:ind w:left="375"/>
        <w:rPr>
          <w:rFonts w:ascii="Calibri" w:hAnsi="Calibri" w:eastAsia="Calibri" w:cs="Calibri" w:asciiTheme="minorAscii" w:hAnsiTheme="minorAscii" w:eastAsiaTheme="minorAscii" w:cstheme="minorAscii"/>
          <w:sz w:val="22"/>
          <w:szCs w:val="22"/>
        </w:rPr>
      </w:pPr>
      <w:r w:rsidRPr="751E5D63" w:rsidR="751E5D63">
        <w:rPr>
          <w:rFonts w:ascii="Georgia" w:hAnsi="Georgia" w:eastAsia="Georgia" w:cs="Georgia"/>
          <w:sz w:val="24"/>
          <w:szCs w:val="24"/>
        </w:rPr>
        <w:t>Note that some triggering events will only qualify you for a special enrollment opportunity in the health insurance Marketplace; they do not apply in the outside market. For example, if you gain citizenship or lawfully present status, the Marketplace must provide you with a special enrollment opportunity.</w:t>
      </w:r>
    </w:p>
    <w:p w:rsidR="751E5D63" w:rsidP="751E5D63" w:rsidRDefault="751E5D63" w14:noSpellErr="1" w14:paraId="01D968FA" w14:textId="4AA0793F">
      <w:pPr>
        <w:numPr>
          <w:ilvl w:val="0"/>
          <w:numId w:val="18"/>
        </w:numPr>
        <w:ind w:left="375"/>
        <w:rPr>
          <w:rFonts w:ascii="Calibri" w:hAnsi="Calibri" w:eastAsia="Calibri" w:cs="Calibri" w:asciiTheme="minorAscii" w:hAnsiTheme="minorAscii" w:eastAsiaTheme="minorAscii" w:cstheme="minorAscii"/>
          <w:sz w:val="22"/>
          <w:szCs w:val="22"/>
        </w:rPr>
      </w:pPr>
      <w:r w:rsidRPr="751E5D63" w:rsidR="751E5D63">
        <w:rPr>
          <w:rFonts w:ascii="Georgia" w:hAnsi="Georgia" w:eastAsia="Georgia" w:cs="Georgia"/>
          <w:sz w:val="24"/>
          <w:szCs w:val="24"/>
        </w:rPr>
        <w:t>When you experience a qualifying event, your special enrollment opportunity will last 60 days from the date of that triggering event.  If you can foresee a qualifying event (for example, you know the date when you will graduate and lose student health coverage) you can ask the Marketplace for a special enrollment opportunity up to 60 days in advance so new coverage will take effect right after your old coverage runs out.</w:t>
      </w:r>
    </w:p>
    <w:p w:rsidR="751E5D63" w:rsidP="751E5D63" w:rsidRDefault="751E5D63" w14:noSpellErr="1" w14:paraId="03A0DB59" w14:textId="4C83C3F8">
      <w:pPr>
        <w:numPr>
          <w:ilvl w:val="0"/>
          <w:numId w:val="18"/>
        </w:numPr>
        <w:ind w:left="375"/>
        <w:rPr>
          <w:rFonts w:ascii="Calibri" w:hAnsi="Calibri" w:eastAsia="Calibri" w:cs="Calibri" w:asciiTheme="minorAscii" w:hAnsiTheme="minorAscii" w:eastAsiaTheme="minorAscii" w:cstheme="minorAscii"/>
          <w:sz w:val="22"/>
          <w:szCs w:val="22"/>
        </w:rPr>
      </w:pPr>
      <w:r w:rsidRPr="751E5D63" w:rsidR="751E5D63">
        <w:rPr>
          <w:rFonts w:ascii="Georgia" w:hAnsi="Georgia" w:eastAsia="Georgia" w:cs="Georgia"/>
          <w:sz w:val="24"/>
          <w:szCs w:val="24"/>
        </w:rPr>
        <w:t>States have flexibility to expand special enrollment opportunities for consumers. Check with your State Marketplace for more information.</w:t>
      </w:r>
    </w:p>
    <w:p w:rsidR="751E5D63" w:rsidP="751E5D63" w:rsidRDefault="751E5D63" w14:noSpellErr="1" w14:paraId="33E748F8" w14:textId="6B64234A">
      <w:pPr>
        <w:pStyle w:val="Normal"/>
        <w:spacing w:after="0" w:line="240" w:lineRule="auto"/>
      </w:pPr>
    </w:p>
    <w:p w:rsidR="00CB3C56" w:rsidP="00580440" w:rsidRDefault="00CB3C56" w14:paraId="70C06DAC" w14:textId="77777777">
      <w:pPr>
        <w:spacing w:after="0" w:line="240" w:lineRule="auto"/>
        <w:rPr>
          <w:b/>
          <w:sz w:val="24"/>
          <w:szCs w:val="24"/>
        </w:rPr>
      </w:pPr>
    </w:p>
    <w:sectPr w:rsidR="00CB3C56" w:rsidSect="00EB4F91">
      <w:footerReference w:type="first" r:id="rId8"/>
      <w:pgSz w:w="12240" w:h="15840" w:orient="portrait"/>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13A" w:rsidP="00871119" w:rsidRDefault="00C1613A" w14:paraId="4FC5AA14" w14:textId="77777777">
      <w:pPr>
        <w:spacing w:after="0" w:line="240" w:lineRule="auto"/>
      </w:pPr>
      <w:r>
        <w:separator/>
      </w:r>
    </w:p>
  </w:endnote>
  <w:endnote w:type="continuationSeparator" w:id="0">
    <w:p w:rsidR="00C1613A" w:rsidP="00871119" w:rsidRDefault="00C1613A" w14:paraId="30E84A8B" w14:textId="77777777">
      <w:pPr>
        <w:spacing w:after="0" w:line="240" w:lineRule="auto"/>
      </w:pPr>
      <w:r>
        <w:continuationSeparator/>
      </w:r>
    </w:p>
  </w:endnote>
  <w:endnote w:id="1">
    <w:p w:rsidRPr="00560CD3" w:rsidR="00031172" w:rsidP="004B1761" w:rsidRDefault="00031172" w14:paraId="30D2695C" w14:textId="77777777">
      <w:pPr>
        <w:pStyle w:val="EndnoteText"/>
        <w:rPr>
          <w:rFonts w:ascii="Calibri" w:hAnsi="Calibri" w:eastAsia="Calibri" w:cs="Times New Roman"/>
          <w:sz w:val="16"/>
          <w:szCs w:val="16"/>
        </w:rPr>
      </w:pPr>
      <w:r w:rsidRPr="00560CD3">
        <w:rPr>
          <w:rStyle w:val="EndnoteReference"/>
          <w:rFonts w:ascii="Calibri" w:hAnsi="Calibri" w:eastAsia="Calibri" w:cs="Times New Roman"/>
          <w:sz w:val="16"/>
          <w:szCs w:val="16"/>
        </w:rPr>
        <w:endnoteRef/>
      </w:r>
      <w:r w:rsidRPr="00560CD3">
        <w:rPr>
          <w:rFonts w:ascii="Calibri" w:hAnsi="Calibri" w:eastAsia="Calibri" w:cs="Times New Roman"/>
          <w:sz w:val="16"/>
          <w:szCs w:val="16"/>
        </w:rPr>
        <w:t xml:space="preserve"> </w:t>
      </w:r>
      <w:r w:rsidRPr="00560CD3">
        <w:rPr>
          <w:rFonts w:ascii="Calibri" w:hAnsi="Calibri" w:eastAsia="Times New Roman" w:cs="Times New Roman"/>
          <w:sz w:val="16"/>
          <w:szCs w:val="16"/>
        </w:rPr>
        <w:t xml:space="preserve">Streeter, et al. “Patient and Plan Characteristics Affecting Abandonment of Oral </w:t>
      </w:r>
      <w:proofErr w:type="spellStart"/>
      <w:r w:rsidRPr="00560CD3">
        <w:rPr>
          <w:rFonts w:ascii="Calibri" w:hAnsi="Calibri" w:eastAsia="Times New Roman" w:cs="Times New Roman"/>
          <w:sz w:val="16"/>
          <w:szCs w:val="16"/>
        </w:rPr>
        <w:t>Oncolytic</w:t>
      </w:r>
      <w:proofErr w:type="spellEnd"/>
      <w:r w:rsidRPr="00560CD3">
        <w:rPr>
          <w:rFonts w:ascii="Calibri" w:hAnsi="Calibri" w:eastAsia="Times New Roman" w:cs="Times New Roman"/>
          <w:sz w:val="16"/>
          <w:szCs w:val="16"/>
        </w:rPr>
        <w:t xml:space="preserve"> </w:t>
      </w:r>
      <w:proofErr w:type="spellStart"/>
      <w:r w:rsidRPr="00560CD3">
        <w:rPr>
          <w:rFonts w:ascii="Calibri" w:hAnsi="Calibri" w:eastAsia="Times New Roman" w:cs="Times New Roman"/>
          <w:sz w:val="16"/>
          <w:szCs w:val="16"/>
        </w:rPr>
        <w:t>Prescriptions.”</w:t>
      </w:r>
      <w:r w:rsidRPr="00593213">
        <w:rPr>
          <w:rFonts w:ascii="Calibri" w:hAnsi="Calibri" w:eastAsia="Times New Roman" w:cs="Times New Roman"/>
          <w:i/>
          <w:sz w:val="16"/>
          <w:szCs w:val="16"/>
        </w:rPr>
        <w:t>American</w:t>
      </w:r>
      <w:proofErr w:type="spellEnd"/>
      <w:r w:rsidRPr="00593213">
        <w:rPr>
          <w:rFonts w:ascii="Calibri" w:hAnsi="Calibri" w:eastAsia="Times New Roman" w:cs="Times New Roman"/>
          <w:i/>
          <w:sz w:val="16"/>
          <w:szCs w:val="16"/>
        </w:rPr>
        <w:t xml:space="preserve"> Journal of Managed Care</w:t>
      </w:r>
      <w:r w:rsidRPr="00560CD3">
        <w:rPr>
          <w:rFonts w:ascii="Calibri" w:hAnsi="Calibri" w:eastAsia="Times New Roman" w:cs="Times New Roman"/>
          <w:i/>
          <w:iCs/>
          <w:sz w:val="16"/>
          <w:szCs w:val="16"/>
        </w:rPr>
        <w:t xml:space="preserve">, SP 38, </w:t>
      </w:r>
      <w:r w:rsidRPr="00560CD3">
        <w:rPr>
          <w:rFonts w:ascii="Calibri" w:hAnsi="Calibri" w:eastAsia="Times New Roman" w:cs="Times New Roman"/>
          <w:sz w:val="16"/>
          <w:szCs w:val="16"/>
        </w:rPr>
        <w:t>May 2011</w:t>
      </w:r>
    </w:p>
  </w:endnote>
  <w:endnote w:id="2">
    <w:p w:rsidRPr="00560CD3" w:rsidR="00031172" w:rsidP="00560CD3" w:rsidRDefault="00031172" w14:paraId="206696A8" w14:textId="77777777">
      <w:pPr>
        <w:pStyle w:val="EndnoteText"/>
        <w:rPr>
          <w:sz w:val="16"/>
          <w:szCs w:val="16"/>
        </w:rPr>
      </w:pPr>
      <w:r w:rsidRPr="00560CD3">
        <w:rPr>
          <w:rStyle w:val="EndnoteReference"/>
          <w:sz w:val="16"/>
          <w:szCs w:val="16"/>
        </w:rPr>
        <w:endnoteRef/>
      </w:r>
      <w:r w:rsidRPr="00560CD3">
        <w:rPr>
          <w:sz w:val="16"/>
          <w:szCs w:val="16"/>
        </w:rPr>
        <w:t xml:space="preserve"> </w:t>
      </w:r>
      <w:r w:rsidRPr="00560CD3">
        <w:rPr>
          <w:bCs/>
          <w:sz w:val="16"/>
          <w:szCs w:val="16"/>
        </w:rPr>
        <w:t>QHP Webinar Series</w:t>
      </w:r>
      <w:r>
        <w:rPr>
          <w:bCs/>
          <w:sz w:val="16"/>
          <w:szCs w:val="16"/>
        </w:rPr>
        <w:t>.</w:t>
      </w:r>
      <w:r w:rsidRPr="00560CD3">
        <w:rPr>
          <w:bCs/>
          <w:sz w:val="16"/>
          <w:szCs w:val="16"/>
        </w:rPr>
        <w:t xml:space="preserve"> Frequently Asked Questions</w:t>
      </w:r>
      <w:r>
        <w:rPr>
          <w:bCs/>
          <w:sz w:val="16"/>
          <w:szCs w:val="16"/>
        </w:rPr>
        <w:t xml:space="preserve"> #10. April 30, 2013</w:t>
      </w:r>
    </w:p>
  </w:endnote>
  <w:endnote w:id="3">
    <w:p w:rsidRPr="009A4BD5" w:rsidR="00031172" w:rsidRDefault="00031172" w14:paraId="4AFEC7B4" w14:textId="77777777">
      <w:pPr>
        <w:pStyle w:val="EndnoteText"/>
        <w:rPr>
          <w:sz w:val="16"/>
          <w:szCs w:val="16"/>
        </w:rPr>
      </w:pPr>
      <w:r w:rsidRPr="009A4BD5">
        <w:rPr>
          <w:rStyle w:val="EndnoteReference"/>
          <w:sz w:val="16"/>
          <w:szCs w:val="16"/>
        </w:rPr>
        <w:endnoteRef/>
      </w:r>
      <w:r w:rsidRPr="009A4BD5">
        <w:rPr>
          <w:sz w:val="16"/>
          <w:szCs w:val="16"/>
        </w:rPr>
        <w:t xml:space="preserve"> </w:t>
      </w:r>
      <w:proofErr w:type="spellStart"/>
      <w:r w:rsidRPr="009A4BD5">
        <w:rPr>
          <w:sz w:val="16"/>
          <w:szCs w:val="16"/>
        </w:rPr>
        <w:t>PhRMA</w:t>
      </w:r>
      <w:proofErr w:type="spellEnd"/>
      <w:r w:rsidRPr="009A4BD5">
        <w:rPr>
          <w:sz w:val="16"/>
          <w:szCs w:val="16"/>
        </w:rPr>
        <w:t xml:space="preserve">. “Cancer Medicines: Value in Context.” </w:t>
      </w:r>
      <w:r>
        <w:rPr>
          <w:sz w:val="16"/>
          <w:szCs w:val="16"/>
        </w:rPr>
        <w:t xml:space="preserve">Cancer Chart Pack. </w:t>
      </w:r>
      <w:r w:rsidRPr="009A4BD5">
        <w:rPr>
          <w:sz w:val="16"/>
          <w:szCs w:val="16"/>
        </w:rPr>
        <w:t xml:space="preserve">Spring 2014. </w:t>
      </w:r>
    </w:p>
  </w:endnote>
  <w:endnote w:id="4">
    <w:p w:rsidRPr="00560CD3" w:rsidR="00031172" w:rsidRDefault="00031172" w14:paraId="36175EDA" w14:textId="77777777">
      <w:pPr>
        <w:pStyle w:val="EndnoteText"/>
        <w:rPr>
          <w:sz w:val="16"/>
          <w:szCs w:val="16"/>
        </w:rPr>
      </w:pPr>
      <w:r w:rsidRPr="00560CD3">
        <w:rPr>
          <w:rStyle w:val="EndnoteReference"/>
          <w:sz w:val="16"/>
          <w:szCs w:val="16"/>
        </w:rPr>
        <w:endnoteRef/>
      </w:r>
      <w:r w:rsidRPr="00560CD3">
        <w:rPr>
          <w:sz w:val="16"/>
          <w:szCs w:val="16"/>
        </w:rPr>
        <w:t xml:space="preserve"> </w:t>
      </w:r>
      <w:proofErr w:type="spellStart"/>
      <w:r w:rsidRPr="00560CD3">
        <w:rPr>
          <w:sz w:val="16"/>
          <w:szCs w:val="16"/>
        </w:rPr>
        <w:t>Durie</w:t>
      </w:r>
      <w:proofErr w:type="spellEnd"/>
      <w:r w:rsidRPr="00560CD3">
        <w:rPr>
          <w:sz w:val="16"/>
          <w:szCs w:val="16"/>
        </w:rPr>
        <w:t xml:space="preserve">, BGM, Binder, G, </w:t>
      </w:r>
      <w:proofErr w:type="spellStart"/>
      <w:r w:rsidRPr="00560CD3">
        <w:rPr>
          <w:sz w:val="16"/>
          <w:szCs w:val="16"/>
        </w:rPr>
        <w:t>Pashos</w:t>
      </w:r>
      <w:proofErr w:type="spellEnd"/>
      <w:r w:rsidRPr="00560CD3">
        <w:rPr>
          <w:sz w:val="16"/>
          <w:szCs w:val="16"/>
        </w:rPr>
        <w:t xml:space="preserve"> CL, Khan, ZM, Hussein, MA, </w:t>
      </w:r>
      <w:proofErr w:type="spellStart"/>
      <w:r w:rsidRPr="00560CD3">
        <w:rPr>
          <w:sz w:val="16"/>
          <w:szCs w:val="16"/>
        </w:rPr>
        <w:t>Borrello</w:t>
      </w:r>
      <w:proofErr w:type="spellEnd"/>
      <w:r w:rsidRPr="00560CD3">
        <w:rPr>
          <w:sz w:val="16"/>
          <w:szCs w:val="16"/>
        </w:rPr>
        <w:t xml:space="preserve"> I. “Total cost comparison in relapsed/refractory multiple myeloma.” </w:t>
      </w:r>
      <w:r w:rsidRPr="00560CD3">
        <w:rPr>
          <w:i/>
          <w:sz w:val="16"/>
          <w:szCs w:val="16"/>
        </w:rPr>
        <w:t>Journal of Medical Economics</w:t>
      </w:r>
      <w:r w:rsidRPr="00560CD3">
        <w:rPr>
          <w:sz w:val="16"/>
          <w:szCs w:val="16"/>
        </w:rPr>
        <w:t xml:space="preserve">. </w:t>
      </w:r>
      <w:proofErr w:type="spellStart"/>
      <w:r w:rsidRPr="00560CD3">
        <w:rPr>
          <w:sz w:val="16"/>
          <w:szCs w:val="16"/>
        </w:rPr>
        <w:t>Epub</w:t>
      </w:r>
      <w:proofErr w:type="spellEnd"/>
      <w:r w:rsidRPr="00560CD3">
        <w:rPr>
          <w:sz w:val="16"/>
          <w:szCs w:val="16"/>
        </w:rPr>
        <w:t xml:space="preserve"> 2013 Jan 3.</w:t>
      </w:r>
    </w:p>
  </w:endnote>
  <w:endnote w:id="5">
    <w:p w:rsidRPr="00D90408" w:rsidR="00031172" w:rsidP="004B1761" w:rsidRDefault="00031172" w14:paraId="45DAFE01" w14:textId="77777777">
      <w:pPr>
        <w:pStyle w:val="EndnoteText"/>
        <w:rPr>
          <w:sz w:val="16"/>
          <w:szCs w:val="16"/>
        </w:rPr>
      </w:pPr>
      <w:r w:rsidRPr="00560CD3">
        <w:rPr>
          <w:rStyle w:val="EndnoteReference"/>
          <w:sz w:val="16"/>
          <w:szCs w:val="16"/>
        </w:rPr>
        <w:endnoteRef/>
      </w:r>
      <w:r w:rsidR="00593213">
        <w:rPr>
          <w:sz w:val="16"/>
          <w:szCs w:val="16"/>
        </w:rPr>
        <w:t xml:space="preserve"> Streeter et 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3737F4" w:rsidR="00031172" w:rsidP="003737F4" w:rsidRDefault="003F3CDC" w14:paraId="1735E925" w14:textId="77777777">
    <w:pPr>
      <w:pStyle w:val="Footer"/>
      <w:jc w:val="right"/>
      <w:rPr>
        <w:i/>
        <w:sz w:val="18"/>
        <w:szCs w:val="18"/>
      </w:rPr>
    </w:pPr>
    <w:r w:rsidRPr="003737F4">
      <w:rPr>
        <w:i/>
        <w:sz w:val="18"/>
        <w:szCs w:val="18"/>
      </w:rPr>
      <w:fldChar w:fldCharType="begin"/>
    </w:r>
    <w:r w:rsidRPr="003737F4" w:rsidR="00031172">
      <w:rPr>
        <w:i/>
        <w:sz w:val="18"/>
        <w:szCs w:val="18"/>
      </w:rPr>
      <w:instrText xml:space="preserve"> DATE \@ "M/d/yyyy" </w:instrText>
    </w:r>
    <w:r w:rsidRPr="003737F4">
      <w:rPr>
        <w:i/>
        <w:sz w:val="18"/>
        <w:szCs w:val="18"/>
      </w:rPr>
      <w:fldChar w:fldCharType="separate"/>
    </w:r>
    <w:r w:rsidR="00B412F4">
      <w:rPr>
        <w:i/>
        <w:noProof/>
        <w:sz w:val="18"/>
        <w:szCs w:val="18"/>
      </w:rPr>
      <w:t>1/20/2016</w:t>
    </w:r>
    <w:r w:rsidRPr="003737F4">
      <w:rPr>
        <w:i/>
        <w:sz w:val="18"/>
        <w:szCs w:val="18"/>
      </w:rPr>
      <w:fldChar w:fldCharType="end"/>
    </w:r>
  </w:p>
  <w:p w:rsidR="00031172" w:rsidRDefault="00031172" w14:paraId="3696FD3F"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13A" w:rsidP="00871119" w:rsidRDefault="00C1613A" w14:paraId="2A247A48" w14:textId="77777777">
      <w:pPr>
        <w:spacing w:after="0" w:line="240" w:lineRule="auto"/>
      </w:pPr>
      <w:r>
        <w:separator/>
      </w:r>
    </w:p>
  </w:footnote>
  <w:footnote w:type="continuationSeparator" w:id="0">
    <w:p w:rsidR="00C1613A" w:rsidP="00871119" w:rsidRDefault="00C1613A" w14:paraId="7F46AE17"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2CB6"/>
    <w:multiLevelType w:val="hybridMultilevel"/>
    <w:tmpl w:val="152C7BA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F9E4AF3"/>
    <w:multiLevelType w:val="hybridMultilevel"/>
    <w:tmpl w:val="0D468F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0870B8"/>
    <w:multiLevelType w:val="hybridMultilevel"/>
    <w:tmpl w:val="37E81AB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3D76214"/>
    <w:multiLevelType w:val="hybridMultilevel"/>
    <w:tmpl w:val="EE8E7E0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C3727B7"/>
    <w:multiLevelType w:val="hybridMultilevel"/>
    <w:tmpl w:val="D722B4D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21D34F8D"/>
    <w:multiLevelType w:val="hybridMultilevel"/>
    <w:tmpl w:val="176615D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28C674AC"/>
    <w:multiLevelType w:val="hybridMultilevel"/>
    <w:tmpl w:val="93C2EBB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A1A65B8"/>
    <w:multiLevelType w:val="hybridMultilevel"/>
    <w:tmpl w:val="FA183846"/>
    <w:lvl w:ilvl="0" w:tplc="4E081E12">
      <w:numFmt w:val="bullet"/>
      <w:lvlText w:val="-"/>
      <w:lvlJc w:val="left"/>
      <w:pPr>
        <w:ind w:left="360" w:hanging="360"/>
      </w:pPr>
      <w:rPr>
        <w:rFonts w:hint="default" w:ascii="Calibri" w:hAnsi="Calibri" w:eastAsiaTheme="minorHAnsi" w:cstheme="minorBidi"/>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F727281"/>
    <w:multiLevelType w:val="hybridMultilevel"/>
    <w:tmpl w:val="85F8F2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2F91186B"/>
    <w:multiLevelType w:val="hybridMultilevel"/>
    <w:tmpl w:val="64CA22C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319C7753"/>
    <w:multiLevelType w:val="hybridMultilevel"/>
    <w:tmpl w:val="2AFA3F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FD93110"/>
    <w:multiLevelType w:val="hybridMultilevel"/>
    <w:tmpl w:val="0E00572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41842C17"/>
    <w:multiLevelType w:val="hybridMultilevel"/>
    <w:tmpl w:val="35FA302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48F9368E"/>
    <w:multiLevelType w:val="hybridMultilevel"/>
    <w:tmpl w:val="551690E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491D2D86"/>
    <w:multiLevelType w:val="hybridMultilevel"/>
    <w:tmpl w:val="194CBED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4CB16C0B"/>
    <w:multiLevelType w:val="hybridMultilevel"/>
    <w:tmpl w:val="6BF054C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56E553F7"/>
    <w:multiLevelType w:val="hybridMultilevel"/>
    <w:tmpl w:val="E49A87D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5A385CBF"/>
    <w:multiLevelType w:val="hybridMultilevel"/>
    <w:tmpl w:val="F4366BA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5A9D096C"/>
    <w:multiLevelType w:val="hybridMultilevel"/>
    <w:tmpl w:val="6B40DBCA"/>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CCE08AD"/>
    <w:multiLevelType w:val="hybridMultilevel"/>
    <w:tmpl w:val="02329E3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CEE51E2"/>
    <w:multiLevelType w:val="hybridMultilevel"/>
    <w:tmpl w:val="3A0AE9F4"/>
    <w:lvl w:ilvl="0" w:tplc="0409000B">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646C4BE5"/>
    <w:multiLevelType w:val="hybridMultilevel"/>
    <w:tmpl w:val="9F64689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6AF519F9"/>
    <w:multiLevelType w:val="hybridMultilevel"/>
    <w:tmpl w:val="B5A894F6"/>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E4E6A86"/>
    <w:multiLevelType w:val="hybridMultilevel"/>
    <w:tmpl w:val="C456B7B0"/>
    <w:lvl w:ilvl="0" w:tplc="04090001">
      <w:start w:val="1"/>
      <w:numFmt w:val="bullet"/>
      <w:lvlText w:val=""/>
      <w:lvlJc w:val="left"/>
      <w:pPr>
        <w:ind w:left="360" w:hanging="360"/>
      </w:pPr>
      <w:rPr>
        <w:rFonts w:hint="default" w:ascii="Symbol" w:hAnsi="Symbol"/>
      </w:rPr>
    </w:lvl>
    <w:lvl w:ilvl="1" w:tplc="04090001">
      <w:start w:val="1"/>
      <w:numFmt w:val="bullet"/>
      <w:lvlText w:val=""/>
      <w:lvlJc w:val="left"/>
      <w:pPr>
        <w:ind w:left="1080" w:hanging="360"/>
      </w:pPr>
      <w:rPr>
        <w:rFonts w:hint="default" w:ascii="Symbol" w:hAnsi="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7E3341BF"/>
    <w:multiLevelType w:val="hybridMultilevel"/>
    <w:tmpl w:val="5B16B6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5" w15:restartNumberingAfterBreak="0">
    <w:nsid w:val="7FAE166A"/>
    <w:multiLevelType w:val="hybridMultilevel"/>
    <w:tmpl w:val="1CDC6AD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0"/>
  </w:num>
  <w:num w:numId="5">
    <w:abstractNumId w:val="8"/>
  </w:num>
  <w:num w:numId="6">
    <w:abstractNumId w:val="1"/>
  </w:num>
  <w:num w:numId="7">
    <w:abstractNumId w:val="25"/>
  </w:num>
  <w:num w:numId="8">
    <w:abstractNumId w:val="12"/>
  </w:num>
  <w:num w:numId="9">
    <w:abstractNumId w:val="17"/>
  </w:num>
  <w:num w:numId="10">
    <w:abstractNumId w:val="9"/>
  </w:num>
  <w:num w:numId="11">
    <w:abstractNumId w:val="4"/>
  </w:num>
  <w:num w:numId="12">
    <w:abstractNumId w:val="13"/>
  </w:num>
  <w:num w:numId="13">
    <w:abstractNumId w:val="6"/>
  </w:num>
  <w:num w:numId="14">
    <w:abstractNumId w:val="3"/>
  </w:num>
  <w:num w:numId="15">
    <w:abstractNumId w:val="23"/>
  </w:num>
  <w:num w:numId="16">
    <w:abstractNumId w:val="5"/>
  </w:num>
  <w:num w:numId="17">
    <w:abstractNumId w:val="24"/>
  </w:num>
  <w:num w:numId="18">
    <w:abstractNumId w:val="2"/>
  </w:num>
  <w:num w:numId="19">
    <w:abstractNumId w:val="16"/>
  </w:num>
  <w:num w:numId="20">
    <w:abstractNumId w:val="20"/>
  </w:num>
  <w:num w:numId="21">
    <w:abstractNumId w:val="11"/>
  </w:num>
  <w:num w:numId="22">
    <w:abstractNumId w:val="14"/>
  </w:num>
  <w:num w:numId="23">
    <w:abstractNumId w:val="10"/>
  </w:num>
  <w:num w:numId="24">
    <w:abstractNumId w:val="7"/>
  </w:num>
  <w:num w:numId="25">
    <w:abstractNumId w:val="21"/>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4231"/>
    <w:rsid w:val="00002A63"/>
    <w:rsid w:val="00003AF3"/>
    <w:rsid w:val="0001087D"/>
    <w:rsid w:val="00031172"/>
    <w:rsid w:val="00044C31"/>
    <w:rsid w:val="000D78DE"/>
    <w:rsid w:val="001017A2"/>
    <w:rsid w:val="0012797E"/>
    <w:rsid w:val="0018398D"/>
    <w:rsid w:val="001A7D05"/>
    <w:rsid w:val="001B3298"/>
    <w:rsid w:val="001D2AAE"/>
    <w:rsid w:val="002028A8"/>
    <w:rsid w:val="00230AC4"/>
    <w:rsid w:val="002369D7"/>
    <w:rsid w:val="002423C3"/>
    <w:rsid w:val="002747F2"/>
    <w:rsid w:val="002D4269"/>
    <w:rsid w:val="002D6BF2"/>
    <w:rsid w:val="002F15F8"/>
    <w:rsid w:val="002F362E"/>
    <w:rsid w:val="00303551"/>
    <w:rsid w:val="00327A2F"/>
    <w:rsid w:val="00333DAB"/>
    <w:rsid w:val="003406B0"/>
    <w:rsid w:val="00342686"/>
    <w:rsid w:val="00344485"/>
    <w:rsid w:val="003449A4"/>
    <w:rsid w:val="00346836"/>
    <w:rsid w:val="003513E2"/>
    <w:rsid w:val="00363CB0"/>
    <w:rsid w:val="003737F4"/>
    <w:rsid w:val="003B6269"/>
    <w:rsid w:val="003F2373"/>
    <w:rsid w:val="003F3CDC"/>
    <w:rsid w:val="004159C0"/>
    <w:rsid w:val="004217C6"/>
    <w:rsid w:val="00423B79"/>
    <w:rsid w:val="00437C09"/>
    <w:rsid w:val="00443432"/>
    <w:rsid w:val="004A206A"/>
    <w:rsid w:val="004A3E73"/>
    <w:rsid w:val="004A664C"/>
    <w:rsid w:val="004B1761"/>
    <w:rsid w:val="004F7BDA"/>
    <w:rsid w:val="00513330"/>
    <w:rsid w:val="00536560"/>
    <w:rsid w:val="00543B93"/>
    <w:rsid w:val="00560558"/>
    <w:rsid w:val="00560CD3"/>
    <w:rsid w:val="00580440"/>
    <w:rsid w:val="00581683"/>
    <w:rsid w:val="00593213"/>
    <w:rsid w:val="005957E7"/>
    <w:rsid w:val="005F1393"/>
    <w:rsid w:val="00624B4A"/>
    <w:rsid w:val="00635770"/>
    <w:rsid w:val="00665917"/>
    <w:rsid w:val="00675677"/>
    <w:rsid w:val="00681DA5"/>
    <w:rsid w:val="006A0BDF"/>
    <w:rsid w:val="006A4A8C"/>
    <w:rsid w:val="006B6EEB"/>
    <w:rsid w:val="006C2C39"/>
    <w:rsid w:val="007664FA"/>
    <w:rsid w:val="00783A7F"/>
    <w:rsid w:val="007B7D41"/>
    <w:rsid w:val="007D16C9"/>
    <w:rsid w:val="007E4F48"/>
    <w:rsid w:val="00801697"/>
    <w:rsid w:val="008036DB"/>
    <w:rsid w:val="00825BA7"/>
    <w:rsid w:val="00831ACE"/>
    <w:rsid w:val="00871119"/>
    <w:rsid w:val="008715ED"/>
    <w:rsid w:val="00880093"/>
    <w:rsid w:val="008800EF"/>
    <w:rsid w:val="008C0357"/>
    <w:rsid w:val="009170B6"/>
    <w:rsid w:val="00970251"/>
    <w:rsid w:val="009728CE"/>
    <w:rsid w:val="009802B9"/>
    <w:rsid w:val="009A3EE3"/>
    <w:rsid w:val="009A4A37"/>
    <w:rsid w:val="009A4BD5"/>
    <w:rsid w:val="009B5A41"/>
    <w:rsid w:val="009E3560"/>
    <w:rsid w:val="009E3EA4"/>
    <w:rsid w:val="009F4231"/>
    <w:rsid w:val="009F5143"/>
    <w:rsid w:val="00A039ED"/>
    <w:rsid w:val="00A15825"/>
    <w:rsid w:val="00A85B40"/>
    <w:rsid w:val="00A92B49"/>
    <w:rsid w:val="00A94C9D"/>
    <w:rsid w:val="00A962B3"/>
    <w:rsid w:val="00AA0ACC"/>
    <w:rsid w:val="00AB6CC8"/>
    <w:rsid w:val="00AE3A69"/>
    <w:rsid w:val="00B0254B"/>
    <w:rsid w:val="00B40963"/>
    <w:rsid w:val="00B412F4"/>
    <w:rsid w:val="00B5265B"/>
    <w:rsid w:val="00B61C9A"/>
    <w:rsid w:val="00B71D62"/>
    <w:rsid w:val="00B95917"/>
    <w:rsid w:val="00BA2574"/>
    <w:rsid w:val="00BD5796"/>
    <w:rsid w:val="00BD5D1A"/>
    <w:rsid w:val="00BE7C93"/>
    <w:rsid w:val="00BF2CE5"/>
    <w:rsid w:val="00C00889"/>
    <w:rsid w:val="00C0188A"/>
    <w:rsid w:val="00C1613A"/>
    <w:rsid w:val="00C16A0D"/>
    <w:rsid w:val="00C209D8"/>
    <w:rsid w:val="00C615FB"/>
    <w:rsid w:val="00C67127"/>
    <w:rsid w:val="00C7370C"/>
    <w:rsid w:val="00CB3C56"/>
    <w:rsid w:val="00CC3982"/>
    <w:rsid w:val="00CC5B55"/>
    <w:rsid w:val="00CD7CD0"/>
    <w:rsid w:val="00CE4D3B"/>
    <w:rsid w:val="00CF1CE8"/>
    <w:rsid w:val="00D11DF0"/>
    <w:rsid w:val="00D258A0"/>
    <w:rsid w:val="00D51CF7"/>
    <w:rsid w:val="00D55E56"/>
    <w:rsid w:val="00D6100B"/>
    <w:rsid w:val="00D90408"/>
    <w:rsid w:val="00DC68F1"/>
    <w:rsid w:val="00DD4F2C"/>
    <w:rsid w:val="00DF599C"/>
    <w:rsid w:val="00E1165D"/>
    <w:rsid w:val="00E12697"/>
    <w:rsid w:val="00E54DED"/>
    <w:rsid w:val="00E64DEC"/>
    <w:rsid w:val="00E956E9"/>
    <w:rsid w:val="00EA2DAD"/>
    <w:rsid w:val="00EB4F91"/>
    <w:rsid w:val="00EC71C6"/>
    <w:rsid w:val="00ED3FF5"/>
    <w:rsid w:val="00EE0077"/>
    <w:rsid w:val="00F0249F"/>
    <w:rsid w:val="00F05757"/>
    <w:rsid w:val="00F24101"/>
    <w:rsid w:val="00F479E0"/>
    <w:rsid w:val="00F655A2"/>
    <w:rsid w:val="00F825A7"/>
    <w:rsid w:val="00FC4265"/>
    <w:rsid w:val="00FC549B"/>
    <w:rsid w:val="00FD1A9A"/>
    <w:rsid w:val="00FD77E1"/>
    <w:rsid w:val="2D7ABE1E"/>
    <w:rsid w:val="2D8A2D21"/>
    <w:rsid w:val="751E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9BF11"/>
  <w15:docId w15:val="{CB7E70EC-FCB3-4D55-B134-09C9EC47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6CC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8" w:customStyle="1">
    <w:name w:val="Pa8"/>
    <w:basedOn w:val="Normal"/>
    <w:uiPriority w:val="99"/>
    <w:rsid w:val="009F4231"/>
    <w:pPr>
      <w:autoSpaceDE w:val="0"/>
      <w:autoSpaceDN w:val="0"/>
      <w:spacing w:after="0" w:line="241" w:lineRule="atLeast"/>
    </w:pPr>
    <w:rPr>
      <w:rFonts w:ascii="Arial" w:hAnsi="Arial" w:cs="Arial"/>
      <w:sz w:val="24"/>
      <w:szCs w:val="24"/>
    </w:rPr>
  </w:style>
  <w:style w:type="character" w:styleId="A0" w:customStyle="1">
    <w:name w:val="A0"/>
    <w:basedOn w:val="DefaultParagraphFont"/>
    <w:uiPriority w:val="99"/>
    <w:rsid w:val="009F4231"/>
    <w:rPr>
      <w:color w:val="000000"/>
    </w:rPr>
  </w:style>
  <w:style w:type="paragraph" w:styleId="PlainText">
    <w:name w:val="Plain Text"/>
    <w:basedOn w:val="Normal"/>
    <w:link w:val="PlainTextChar"/>
    <w:uiPriority w:val="99"/>
    <w:unhideWhenUsed/>
    <w:rsid w:val="009F4231"/>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9F4231"/>
    <w:rPr>
      <w:rFonts w:ascii="Calibri" w:hAnsi="Calibri"/>
      <w:szCs w:val="21"/>
    </w:rPr>
  </w:style>
  <w:style w:type="paragraph" w:styleId="BalloonText">
    <w:name w:val="Balloon Text"/>
    <w:basedOn w:val="Normal"/>
    <w:link w:val="BalloonTextChar"/>
    <w:uiPriority w:val="99"/>
    <w:semiHidden/>
    <w:unhideWhenUsed/>
    <w:rsid w:val="0087111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71119"/>
    <w:rPr>
      <w:rFonts w:ascii="Segoe UI" w:hAnsi="Segoe UI" w:cs="Segoe UI"/>
      <w:sz w:val="18"/>
      <w:szCs w:val="18"/>
    </w:rPr>
  </w:style>
  <w:style w:type="paragraph" w:styleId="EndnoteText">
    <w:name w:val="endnote text"/>
    <w:basedOn w:val="Normal"/>
    <w:link w:val="EndnoteTextChar"/>
    <w:uiPriority w:val="99"/>
    <w:unhideWhenUsed/>
    <w:rsid w:val="00871119"/>
    <w:pPr>
      <w:spacing w:after="0" w:line="240" w:lineRule="auto"/>
    </w:pPr>
    <w:rPr>
      <w:sz w:val="20"/>
      <w:szCs w:val="20"/>
    </w:rPr>
  </w:style>
  <w:style w:type="character" w:styleId="EndnoteTextChar" w:customStyle="1">
    <w:name w:val="Endnote Text Char"/>
    <w:basedOn w:val="DefaultParagraphFont"/>
    <w:link w:val="EndnoteText"/>
    <w:uiPriority w:val="99"/>
    <w:rsid w:val="00871119"/>
    <w:rPr>
      <w:sz w:val="20"/>
      <w:szCs w:val="20"/>
    </w:rPr>
  </w:style>
  <w:style w:type="character" w:styleId="EndnoteReference">
    <w:name w:val="endnote reference"/>
    <w:basedOn w:val="DefaultParagraphFont"/>
    <w:unhideWhenUsed/>
    <w:rsid w:val="00871119"/>
    <w:rPr>
      <w:vertAlign w:val="superscript"/>
    </w:rPr>
  </w:style>
  <w:style w:type="character" w:styleId="Hyperlink">
    <w:name w:val="Hyperlink"/>
    <w:basedOn w:val="DefaultParagraphFont"/>
    <w:uiPriority w:val="99"/>
    <w:unhideWhenUsed/>
    <w:rsid w:val="00871119"/>
    <w:rPr>
      <w:color w:val="0563C1" w:themeColor="hyperlink"/>
      <w:u w:val="single"/>
    </w:rPr>
  </w:style>
  <w:style w:type="character" w:styleId="NoSpacingChar" w:customStyle="1">
    <w:name w:val="No Spacing Char"/>
    <w:basedOn w:val="DefaultParagraphFont"/>
    <w:link w:val="NoSpacing"/>
    <w:uiPriority w:val="1"/>
    <w:locked/>
    <w:rsid w:val="00B95917"/>
    <w:rPr>
      <w:rFonts w:ascii="Times New Roman" w:hAnsi="Times New Roman" w:eastAsia="Times New Roman" w:cs="Times New Roman"/>
      <w:sz w:val="20"/>
      <w:szCs w:val="20"/>
    </w:rPr>
  </w:style>
  <w:style w:type="paragraph" w:styleId="NoSpacing">
    <w:name w:val="No Spacing"/>
    <w:basedOn w:val="Normal"/>
    <w:link w:val="NoSpacingChar"/>
    <w:uiPriority w:val="1"/>
    <w:qFormat/>
    <w:rsid w:val="00B95917"/>
    <w:pPr>
      <w:spacing w:after="0" w:line="240" w:lineRule="auto"/>
    </w:pPr>
    <w:rPr>
      <w:rFonts w:ascii="Times New Roman" w:hAnsi="Times New Roman" w:eastAsia="Times New Roman" w:cs="Times New Roman"/>
      <w:sz w:val="20"/>
      <w:szCs w:val="20"/>
    </w:rPr>
  </w:style>
  <w:style w:type="paragraph" w:styleId="ListParagraph">
    <w:name w:val="List Paragraph"/>
    <w:basedOn w:val="Normal"/>
    <w:uiPriority w:val="34"/>
    <w:qFormat/>
    <w:rsid w:val="00327A2F"/>
    <w:pPr>
      <w:ind w:left="720"/>
      <w:contextualSpacing/>
    </w:pPr>
  </w:style>
  <w:style w:type="character" w:styleId="CommentReference">
    <w:name w:val="annotation reference"/>
    <w:basedOn w:val="DefaultParagraphFont"/>
    <w:uiPriority w:val="99"/>
    <w:semiHidden/>
    <w:unhideWhenUsed/>
    <w:rsid w:val="004F7BDA"/>
    <w:rPr>
      <w:sz w:val="16"/>
      <w:szCs w:val="16"/>
    </w:rPr>
  </w:style>
  <w:style w:type="paragraph" w:styleId="CommentText">
    <w:name w:val="annotation text"/>
    <w:basedOn w:val="Normal"/>
    <w:link w:val="CommentTextChar"/>
    <w:uiPriority w:val="99"/>
    <w:semiHidden/>
    <w:unhideWhenUsed/>
    <w:rsid w:val="004F7BDA"/>
    <w:pPr>
      <w:spacing w:line="240" w:lineRule="auto"/>
    </w:pPr>
    <w:rPr>
      <w:sz w:val="20"/>
      <w:szCs w:val="20"/>
    </w:rPr>
  </w:style>
  <w:style w:type="character" w:styleId="CommentTextChar" w:customStyle="1">
    <w:name w:val="Comment Text Char"/>
    <w:basedOn w:val="DefaultParagraphFont"/>
    <w:link w:val="CommentText"/>
    <w:uiPriority w:val="99"/>
    <w:semiHidden/>
    <w:rsid w:val="004F7BDA"/>
    <w:rPr>
      <w:sz w:val="20"/>
      <w:szCs w:val="20"/>
    </w:rPr>
  </w:style>
  <w:style w:type="paragraph" w:styleId="CommentSubject">
    <w:name w:val="annotation subject"/>
    <w:basedOn w:val="CommentText"/>
    <w:next w:val="CommentText"/>
    <w:link w:val="CommentSubjectChar"/>
    <w:uiPriority w:val="99"/>
    <w:semiHidden/>
    <w:unhideWhenUsed/>
    <w:rsid w:val="00970251"/>
    <w:rPr>
      <w:b/>
      <w:bCs/>
    </w:rPr>
  </w:style>
  <w:style w:type="character" w:styleId="CommentSubjectChar" w:customStyle="1">
    <w:name w:val="Comment Subject Char"/>
    <w:basedOn w:val="CommentTextChar"/>
    <w:link w:val="CommentSubject"/>
    <w:uiPriority w:val="99"/>
    <w:semiHidden/>
    <w:rsid w:val="00970251"/>
    <w:rPr>
      <w:b/>
      <w:bCs/>
      <w:sz w:val="20"/>
      <w:szCs w:val="20"/>
    </w:rPr>
  </w:style>
  <w:style w:type="paragraph" w:styleId="Header">
    <w:name w:val="header"/>
    <w:basedOn w:val="Normal"/>
    <w:link w:val="HeaderChar"/>
    <w:uiPriority w:val="99"/>
    <w:unhideWhenUsed/>
    <w:rsid w:val="00D6100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00B"/>
  </w:style>
  <w:style w:type="paragraph" w:styleId="Footer">
    <w:name w:val="footer"/>
    <w:basedOn w:val="Normal"/>
    <w:link w:val="FooterChar"/>
    <w:uiPriority w:val="99"/>
    <w:unhideWhenUsed/>
    <w:rsid w:val="00D6100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00B"/>
  </w:style>
  <w:style w:type="table" w:styleId="TableGrid">
    <w:name w:val="Table Grid"/>
    <w:basedOn w:val="TableNormal"/>
    <w:uiPriority w:val="39"/>
    <w:rsid w:val="00D258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eading6Char" w:customStyle="1" mc:Ignorable="w14">
    <w:name xmlns:w="http://schemas.openxmlformats.org/wordprocessingml/2006/main" w:val="Heading 6 Char"/>
    <w:basedOn xmlns:w="http://schemas.openxmlformats.org/wordprocessingml/2006/main" w:val="DefaultParagraphFont"/>
    <w:link xmlns:w="http://schemas.openxmlformats.org/wordprocessingml/2006/main" w:val="Heading6"/>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rPr>
  </w:style>
  <w:style xmlns:w14="http://schemas.microsoft.com/office/word/2010/wordml" xmlns:mc="http://schemas.openxmlformats.org/markup-compatibility/2006" xmlns:w="http://schemas.openxmlformats.org/wordprocessingml/2006/main" w:type="paragraph" w:styleId="Heading6" mc:Ignorable="w14">
    <w:name xmlns:w="http://schemas.openxmlformats.org/wordprocessingml/2006/main" w:val="heading 6"/>
    <w:basedOn xmlns:w="http://schemas.openxmlformats.org/wordprocessingml/2006/main" w:val="Normal"/>
    <w:next xmlns:w="http://schemas.openxmlformats.org/wordprocessingml/2006/main" w:val="Normal"/>
    <w:link xmlns:w="http://schemas.openxmlformats.org/wordprocessingml/2006/main" w:val="Heading6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5"/>
    </w:pPr>
    <w:rPr xmlns:w="http://schemas.openxmlformats.org/wordprocessingml/2006/main">
      <w:rFonts w:asciiTheme="majorHAnsi" w:hAnsiTheme="majorHAnsi"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77589">
      <w:bodyDiv w:val="1"/>
      <w:marLeft w:val="0"/>
      <w:marRight w:val="0"/>
      <w:marTop w:val="0"/>
      <w:marBottom w:val="0"/>
      <w:divBdr>
        <w:top w:val="none" w:sz="0" w:space="0" w:color="auto"/>
        <w:left w:val="none" w:sz="0" w:space="0" w:color="auto"/>
        <w:bottom w:val="none" w:sz="0" w:space="0" w:color="auto"/>
        <w:right w:val="none" w:sz="0" w:space="0" w:color="auto"/>
      </w:divBdr>
    </w:div>
    <w:div w:id="365983586">
      <w:bodyDiv w:val="1"/>
      <w:marLeft w:val="0"/>
      <w:marRight w:val="0"/>
      <w:marTop w:val="0"/>
      <w:marBottom w:val="0"/>
      <w:divBdr>
        <w:top w:val="none" w:sz="0" w:space="0" w:color="auto"/>
        <w:left w:val="none" w:sz="0" w:space="0" w:color="auto"/>
        <w:bottom w:val="none" w:sz="0" w:space="0" w:color="auto"/>
        <w:right w:val="none" w:sz="0" w:space="0" w:color="auto"/>
      </w:divBdr>
    </w:div>
    <w:div w:id="586961107">
      <w:bodyDiv w:val="1"/>
      <w:marLeft w:val="0"/>
      <w:marRight w:val="0"/>
      <w:marTop w:val="0"/>
      <w:marBottom w:val="0"/>
      <w:divBdr>
        <w:top w:val="none" w:sz="0" w:space="0" w:color="auto"/>
        <w:left w:val="none" w:sz="0" w:space="0" w:color="auto"/>
        <w:bottom w:val="none" w:sz="0" w:space="0" w:color="auto"/>
        <w:right w:val="none" w:sz="0" w:space="0" w:color="auto"/>
      </w:divBdr>
    </w:div>
    <w:div w:id="810633870">
      <w:bodyDiv w:val="1"/>
      <w:marLeft w:val="0"/>
      <w:marRight w:val="0"/>
      <w:marTop w:val="0"/>
      <w:marBottom w:val="0"/>
      <w:divBdr>
        <w:top w:val="none" w:sz="0" w:space="0" w:color="auto"/>
        <w:left w:val="none" w:sz="0" w:space="0" w:color="auto"/>
        <w:bottom w:val="none" w:sz="0" w:space="0" w:color="auto"/>
        <w:right w:val="none" w:sz="0" w:space="0" w:color="auto"/>
      </w:divBdr>
    </w:div>
    <w:div w:id="1080952248">
      <w:bodyDiv w:val="1"/>
      <w:marLeft w:val="0"/>
      <w:marRight w:val="0"/>
      <w:marTop w:val="0"/>
      <w:marBottom w:val="0"/>
      <w:divBdr>
        <w:top w:val="none" w:sz="0" w:space="0" w:color="auto"/>
        <w:left w:val="none" w:sz="0" w:space="0" w:color="auto"/>
        <w:bottom w:val="none" w:sz="0" w:space="0" w:color="auto"/>
        <w:right w:val="none" w:sz="0" w:space="0" w:color="auto"/>
      </w:divBdr>
    </w:div>
    <w:div w:id="1705017164">
      <w:bodyDiv w:val="1"/>
      <w:marLeft w:val="0"/>
      <w:marRight w:val="0"/>
      <w:marTop w:val="0"/>
      <w:marBottom w:val="0"/>
      <w:divBdr>
        <w:top w:val="none" w:sz="0" w:space="0" w:color="auto"/>
        <w:left w:val="none" w:sz="0" w:space="0" w:color="auto"/>
        <w:bottom w:val="none" w:sz="0" w:space="0" w:color="auto"/>
        <w:right w:val="none" w:sz="0" w:space="0" w:color="auto"/>
      </w:divBdr>
    </w:div>
    <w:div w:id="1864517898">
      <w:bodyDiv w:val="1"/>
      <w:marLeft w:val="0"/>
      <w:marRight w:val="0"/>
      <w:marTop w:val="0"/>
      <w:marBottom w:val="0"/>
      <w:divBdr>
        <w:top w:val="none" w:sz="0" w:space="0" w:color="auto"/>
        <w:left w:val="none" w:sz="0" w:space="0" w:color="auto"/>
        <w:bottom w:val="none" w:sz="0" w:space="0" w:color="auto"/>
        <w:right w:val="none" w:sz="0" w:space="0" w:color="auto"/>
      </w:divBdr>
    </w:div>
    <w:div w:id="1910574776">
      <w:bodyDiv w:val="1"/>
      <w:marLeft w:val="0"/>
      <w:marRight w:val="0"/>
      <w:marTop w:val="0"/>
      <w:marBottom w:val="0"/>
      <w:divBdr>
        <w:top w:val="none" w:sz="0" w:space="0" w:color="auto"/>
        <w:left w:val="none" w:sz="0" w:space="0" w:color="auto"/>
        <w:bottom w:val="none" w:sz="0" w:space="0" w:color="auto"/>
        <w:right w:val="none" w:sz="0" w:space="0" w:color="auto"/>
      </w:divBdr>
    </w:div>
    <w:div w:id="1981425153">
      <w:bodyDiv w:val="1"/>
      <w:marLeft w:val="0"/>
      <w:marRight w:val="0"/>
      <w:marTop w:val="0"/>
      <w:marBottom w:val="0"/>
      <w:divBdr>
        <w:top w:val="none" w:sz="0" w:space="0" w:color="auto"/>
        <w:left w:val="none" w:sz="0" w:space="0" w:color="auto"/>
        <w:bottom w:val="none" w:sz="0" w:space="0" w:color="auto"/>
        <w:right w:val="none" w:sz="0" w:space="0" w:color="auto"/>
      </w:divBdr>
    </w:div>
    <w:div w:id="213968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kff.org/health-reform/faq/health-reform-frequently-asked-questions/#faq-wrapper" TargetMode="External" Id="Rc51c30e5f4414de8" /><Relationship Type="http://schemas.openxmlformats.org/officeDocument/2006/relationships/hyperlink" Target="http://kff.org/health-reform/faq/health-reform-frequently-asked-questions/#question-can-i-buy-or-change-private-health-plan-coverage-outside-of-open-enrollment" TargetMode="External" Id="R60d9bdcac08f4c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BE3D7-856D-410B-80FF-27FC7A2FBD3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Leukemia &amp; Lymphoma Society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Victoria Van Natten</dc:creator>
  <lastModifiedBy>Marialanna Lee</lastModifiedBy>
  <revision>11</revision>
  <lastPrinted>2015-01-28T19:40:00.0000000Z</lastPrinted>
  <dcterms:created xsi:type="dcterms:W3CDTF">2015-03-04T12:29:00.0000000Z</dcterms:created>
  <dcterms:modified xsi:type="dcterms:W3CDTF">2016-02-12T15:30:23.3907415Z</dcterms:modified>
</coreProperties>
</file>