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5E" w:rsidRDefault="00014D5E" w:rsidP="00D336CA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.25pt;margin-top:62.25pt;width:108.5pt;height:10.8pt;z-index:251658240" filled="f" stroked="f">
            <v:fill o:detectmouseclick="t"/>
            <v:textbox style="mso-next-textbox:#_x0000_s2050" inset="0,0,0,0">
              <w:txbxContent>
                <w:p w:rsidR="00014D5E" w:rsidRPr="009A107E" w:rsidRDefault="00014D5E" w:rsidP="00014D5E">
                  <w:pPr>
                    <w:jc w:val="center"/>
                    <w:rPr>
                      <w:rFonts w:ascii="Arial" w:hAnsi="Arial"/>
                      <w:color w:val="404040"/>
                      <w:sz w:val="16"/>
                    </w:rPr>
                  </w:pPr>
                  <w:r>
                    <w:rPr>
                      <w:rFonts w:ascii="Arial" w:hAnsi="Arial" w:cs="Arial"/>
                      <w:bCs/>
                      <w:color w:val="404040"/>
                      <w:sz w:val="16"/>
                      <w:szCs w:val="32"/>
                    </w:rPr>
                    <w:t>www.LLS.org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1371600" cy="942975"/>
            <wp:effectExtent l="19050" t="0" r="0" b="0"/>
            <wp:docPr id="1" name="Picture 1" descr="LLS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S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D5E" w:rsidRDefault="00014D5E" w:rsidP="00D336CA">
      <w:pPr>
        <w:rPr>
          <w:rFonts w:ascii="Times New Roman" w:hAnsi="Times New Roman"/>
        </w:rPr>
      </w:pPr>
    </w:p>
    <w:p w:rsidR="00014D5E" w:rsidRDefault="00014D5E" w:rsidP="00D336CA">
      <w:pPr>
        <w:rPr>
          <w:rFonts w:ascii="Times New Roman" w:hAnsi="Times New Roman"/>
        </w:rPr>
      </w:pPr>
    </w:p>
    <w:p w:rsidR="00C22C9E" w:rsidRDefault="00C22C9E" w:rsidP="00D336CA">
      <w:pPr>
        <w:rPr>
          <w:rFonts w:ascii="Times New Roman" w:hAnsi="Times New Roman"/>
        </w:rPr>
      </w:pPr>
      <w:r w:rsidRPr="00C22C9E">
        <w:rPr>
          <w:rFonts w:ascii="Times New Roman" w:hAnsi="Times New Roman"/>
        </w:rPr>
        <w:t>January 27, 2015</w:t>
      </w:r>
    </w:p>
    <w:p w:rsidR="00C22C9E" w:rsidRDefault="00C22C9E" w:rsidP="00D336CA">
      <w:pPr>
        <w:rPr>
          <w:rFonts w:ascii="Times New Roman" w:hAnsi="Times New Roman"/>
        </w:rPr>
      </w:pPr>
    </w:p>
    <w:p w:rsidR="00C22C9E" w:rsidRDefault="00C22C9E" w:rsidP="00D336CA">
      <w:pPr>
        <w:rPr>
          <w:rFonts w:ascii="Times New Roman" w:hAnsi="Times New Roman"/>
        </w:rPr>
      </w:pPr>
      <w:r>
        <w:rPr>
          <w:rFonts w:ascii="Times New Roman" w:hAnsi="Times New Roman"/>
        </w:rPr>
        <w:t>Health Committee</w:t>
      </w:r>
    </w:p>
    <w:p w:rsidR="00C22C9E" w:rsidRDefault="00C22C9E" w:rsidP="00D336CA">
      <w:pPr>
        <w:rPr>
          <w:rFonts w:ascii="Times New Roman" w:hAnsi="Times New Roman"/>
        </w:rPr>
      </w:pPr>
      <w:r>
        <w:rPr>
          <w:rFonts w:ascii="Times New Roman" w:hAnsi="Times New Roman"/>
        </w:rPr>
        <w:t>Pennsylvania House of Representatives</w:t>
      </w:r>
    </w:p>
    <w:p w:rsidR="00C22C9E" w:rsidRDefault="00C22C9E" w:rsidP="00D336CA">
      <w:pPr>
        <w:rPr>
          <w:rFonts w:ascii="Times New Roman" w:hAnsi="Times New Roman"/>
        </w:rPr>
      </w:pPr>
      <w:r w:rsidRPr="00C22C9E">
        <w:rPr>
          <w:rFonts w:ascii="Times New Roman" w:hAnsi="Times New Roman"/>
        </w:rPr>
        <w:t>Room G50</w:t>
      </w:r>
      <w:r>
        <w:rPr>
          <w:rFonts w:ascii="Times New Roman" w:hAnsi="Times New Roman"/>
        </w:rPr>
        <w:t xml:space="preserve">, </w:t>
      </w:r>
      <w:proofErr w:type="spellStart"/>
      <w:r w:rsidRPr="00C22C9E">
        <w:rPr>
          <w:rFonts w:ascii="Times New Roman" w:hAnsi="Times New Roman"/>
        </w:rPr>
        <w:t>Irvis</w:t>
      </w:r>
      <w:proofErr w:type="spellEnd"/>
      <w:r w:rsidRPr="00C22C9E">
        <w:rPr>
          <w:rFonts w:ascii="Times New Roman" w:hAnsi="Times New Roman"/>
        </w:rPr>
        <w:t xml:space="preserve"> Office</w:t>
      </w:r>
    </w:p>
    <w:p w:rsidR="00C22C9E" w:rsidRPr="00C22C9E" w:rsidRDefault="00C22C9E" w:rsidP="00D336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Harrisburg, PA </w:t>
      </w:r>
    </w:p>
    <w:p w:rsidR="00C22C9E" w:rsidRDefault="00C22C9E" w:rsidP="00D336CA">
      <w:pPr>
        <w:rPr>
          <w:rFonts w:ascii="Times New Roman" w:hAnsi="Times New Roman"/>
        </w:rPr>
      </w:pPr>
    </w:p>
    <w:p w:rsidR="00C22C9E" w:rsidRDefault="00C22C9E" w:rsidP="00D336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Dear </w:t>
      </w:r>
      <w:r w:rsidR="00014D5E">
        <w:rPr>
          <w:rFonts w:ascii="Times New Roman" w:hAnsi="Times New Roman"/>
        </w:rPr>
        <w:t xml:space="preserve">Chairman and Members of the Committee: </w:t>
      </w:r>
      <w:r>
        <w:rPr>
          <w:rFonts w:ascii="Times New Roman" w:hAnsi="Times New Roman"/>
        </w:rPr>
        <w:t xml:space="preserve"> </w:t>
      </w:r>
    </w:p>
    <w:p w:rsidR="00C22C9E" w:rsidRDefault="00C22C9E" w:rsidP="00D336CA">
      <w:pPr>
        <w:rPr>
          <w:rFonts w:ascii="Times New Roman" w:hAnsi="Times New Roman"/>
        </w:rPr>
      </w:pPr>
    </w:p>
    <w:p w:rsidR="00C22C9E" w:rsidRDefault="00C22C9E" w:rsidP="00D336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</w:t>
      </w:r>
      <w:r w:rsidR="00D336CA">
        <w:rPr>
          <w:rFonts w:ascii="Times New Roman" w:hAnsi="Times New Roman"/>
        </w:rPr>
        <w:t>write</w:t>
      </w:r>
      <w:r>
        <w:rPr>
          <w:rFonts w:ascii="Times New Roman" w:hAnsi="Times New Roman"/>
        </w:rPr>
        <w:t xml:space="preserve"> to urge your support for HB 60, which is scheduled for consideration by the House Health Committee in its meeting on January 27</w:t>
      </w:r>
      <w:r w:rsidRPr="00C22C9E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. Sponsored by Chairman Matt Baker, this critical legislation would ensure access to orally-administered cancer therapies.   </w:t>
      </w:r>
    </w:p>
    <w:p w:rsidR="00C22C9E" w:rsidRDefault="00C22C9E" w:rsidP="00D336CA">
      <w:pPr>
        <w:rPr>
          <w:rFonts w:ascii="Times New Roman" w:hAnsi="Times New Roman"/>
        </w:rPr>
      </w:pPr>
    </w:p>
    <w:p w:rsidR="00C02FEA" w:rsidRDefault="00995967" w:rsidP="00D336CA">
      <w:pPr>
        <w:rPr>
          <w:rFonts w:ascii="Times New Roman" w:hAnsi="Times New Roman"/>
        </w:rPr>
      </w:pPr>
      <w:r w:rsidRPr="00995967">
        <w:rPr>
          <w:rFonts w:ascii="Times New Roman" w:hAnsi="Times New Roman"/>
        </w:rPr>
        <w:t xml:space="preserve">Traditionally, cancer treatments have been physician-administered, usually intravenously (IV) or by injection. But in recent years, orally-administered medicines have become more prevalent and, in fact, represent the standard of care for many types of cancer. </w:t>
      </w:r>
      <w:r>
        <w:rPr>
          <w:rFonts w:ascii="Times New Roman" w:hAnsi="Times New Roman"/>
        </w:rPr>
        <w:t xml:space="preserve">For some </w:t>
      </w:r>
      <w:r w:rsidR="00D336CA">
        <w:rPr>
          <w:rFonts w:ascii="Times New Roman" w:hAnsi="Times New Roman"/>
        </w:rPr>
        <w:t xml:space="preserve">cancer </w:t>
      </w:r>
      <w:r>
        <w:rPr>
          <w:rFonts w:ascii="Times New Roman" w:hAnsi="Times New Roman"/>
        </w:rPr>
        <w:t xml:space="preserve">patients, an oral treatment may even be the </w:t>
      </w:r>
      <w:r>
        <w:rPr>
          <w:rFonts w:ascii="Times New Roman" w:hAnsi="Times New Roman"/>
          <w:i/>
        </w:rPr>
        <w:t xml:space="preserve">only </w:t>
      </w:r>
      <w:r>
        <w:rPr>
          <w:rFonts w:ascii="Times New Roman" w:hAnsi="Times New Roman"/>
        </w:rPr>
        <w:t xml:space="preserve">treatment available. </w:t>
      </w:r>
    </w:p>
    <w:p w:rsidR="00C02FEA" w:rsidRDefault="00C02FEA" w:rsidP="00D336CA">
      <w:pPr>
        <w:rPr>
          <w:rFonts w:ascii="Times New Roman" w:hAnsi="Times New Roman"/>
        </w:rPr>
      </w:pPr>
    </w:p>
    <w:p w:rsidR="00995967" w:rsidRDefault="00C02FEA" w:rsidP="00D336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Yet </w:t>
      </w:r>
      <w:r w:rsidR="00D336CA">
        <w:rPr>
          <w:rFonts w:ascii="Times New Roman" w:hAnsi="Times New Roman"/>
        </w:rPr>
        <w:t xml:space="preserve">health plan design </w:t>
      </w:r>
      <w:r>
        <w:rPr>
          <w:rFonts w:ascii="Times New Roman" w:hAnsi="Times New Roman"/>
        </w:rPr>
        <w:t>has not kept pace with these advances in treatment</w:t>
      </w:r>
      <w:r w:rsidR="00FE78AA">
        <w:rPr>
          <w:rFonts w:ascii="Times New Roman" w:hAnsi="Times New Roman"/>
        </w:rPr>
        <w:t xml:space="preserve"> and, as a</w:t>
      </w:r>
      <w:r w:rsidR="00FE78AA" w:rsidRPr="00C22C9E">
        <w:rPr>
          <w:rFonts w:ascii="Times New Roman" w:hAnsi="Times New Roman"/>
        </w:rPr>
        <w:t xml:space="preserve"> result</w:t>
      </w:r>
      <w:r w:rsidR="00FE78AA">
        <w:rPr>
          <w:rFonts w:ascii="Times New Roman" w:hAnsi="Times New Roman"/>
        </w:rPr>
        <w:t xml:space="preserve">, patients prescribed an </w:t>
      </w:r>
      <w:r w:rsidR="00FE78AA" w:rsidRPr="00C22C9E">
        <w:rPr>
          <w:rFonts w:ascii="Times New Roman" w:hAnsi="Times New Roman"/>
        </w:rPr>
        <w:t xml:space="preserve">orally-administered </w:t>
      </w:r>
      <w:r w:rsidR="00FE78AA">
        <w:rPr>
          <w:rFonts w:ascii="Times New Roman" w:hAnsi="Times New Roman"/>
        </w:rPr>
        <w:t xml:space="preserve">therapy may find themselves facing out-of-pocket costs in the thousands of dollars each month. This is because </w:t>
      </w:r>
      <w:r w:rsidR="00995967" w:rsidRPr="00995967">
        <w:rPr>
          <w:rFonts w:ascii="Times New Roman" w:hAnsi="Times New Roman"/>
        </w:rPr>
        <w:t xml:space="preserve">IV/injected </w:t>
      </w:r>
      <w:r>
        <w:rPr>
          <w:rFonts w:ascii="Times New Roman" w:hAnsi="Times New Roman"/>
        </w:rPr>
        <w:t xml:space="preserve">cancer </w:t>
      </w:r>
      <w:r w:rsidR="00995967" w:rsidRPr="00995967">
        <w:rPr>
          <w:rFonts w:ascii="Times New Roman" w:hAnsi="Times New Roman"/>
        </w:rPr>
        <w:t xml:space="preserve">medications </w:t>
      </w:r>
      <w:r w:rsidR="00FE78AA">
        <w:rPr>
          <w:rFonts w:ascii="Times New Roman" w:hAnsi="Times New Roman"/>
        </w:rPr>
        <w:t>have traditionally been covered</w:t>
      </w:r>
      <w:r>
        <w:rPr>
          <w:rFonts w:ascii="Times New Roman" w:hAnsi="Times New Roman"/>
        </w:rPr>
        <w:t xml:space="preserve"> </w:t>
      </w:r>
      <w:r w:rsidR="00995967" w:rsidRPr="00995967">
        <w:rPr>
          <w:rFonts w:ascii="Times New Roman" w:hAnsi="Times New Roman"/>
        </w:rPr>
        <w:t xml:space="preserve">under a health plan’s medical benefit, </w:t>
      </w:r>
      <w:r>
        <w:rPr>
          <w:rFonts w:ascii="Times New Roman" w:hAnsi="Times New Roman"/>
        </w:rPr>
        <w:t>where</w:t>
      </w:r>
      <w:r w:rsidR="00995967" w:rsidRPr="00995967">
        <w:rPr>
          <w:rFonts w:ascii="Times New Roman" w:hAnsi="Times New Roman"/>
        </w:rPr>
        <w:t xml:space="preserve"> </w:t>
      </w:r>
      <w:r w:rsidR="00FE78AA">
        <w:rPr>
          <w:rFonts w:ascii="Times New Roman" w:hAnsi="Times New Roman"/>
        </w:rPr>
        <w:t>the</w:t>
      </w:r>
      <w:r>
        <w:rPr>
          <w:rFonts w:ascii="Times New Roman" w:hAnsi="Times New Roman"/>
        </w:rPr>
        <w:t xml:space="preserve"> </w:t>
      </w:r>
      <w:r w:rsidR="00995967" w:rsidRPr="00995967">
        <w:rPr>
          <w:rFonts w:ascii="Times New Roman" w:hAnsi="Times New Roman"/>
        </w:rPr>
        <w:t xml:space="preserve">patient </w:t>
      </w:r>
      <w:r>
        <w:rPr>
          <w:rFonts w:ascii="Times New Roman" w:hAnsi="Times New Roman"/>
        </w:rPr>
        <w:t xml:space="preserve">is </w:t>
      </w:r>
      <w:r w:rsidR="00FE78AA">
        <w:rPr>
          <w:rFonts w:ascii="Times New Roman" w:hAnsi="Times New Roman"/>
        </w:rPr>
        <w:t xml:space="preserve">usually </w:t>
      </w:r>
      <w:r w:rsidR="00995967" w:rsidRPr="00995967">
        <w:rPr>
          <w:rFonts w:ascii="Times New Roman" w:hAnsi="Times New Roman"/>
        </w:rPr>
        <w:t xml:space="preserve">responsible for </w:t>
      </w:r>
      <w:r w:rsidR="00D336CA">
        <w:rPr>
          <w:rFonts w:ascii="Times New Roman" w:hAnsi="Times New Roman"/>
        </w:rPr>
        <w:t>covering</w:t>
      </w:r>
      <w:r w:rsidR="00995967" w:rsidRPr="00995967">
        <w:rPr>
          <w:rFonts w:ascii="Times New Roman" w:hAnsi="Times New Roman"/>
        </w:rPr>
        <w:t xml:space="preserve"> only the cost of an office visit co-pay – </w:t>
      </w:r>
      <w:r w:rsidR="00FE78AA">
        <w:rPr>
          <w:rFonts w:ascii="Times New Roman" w:hAnsi="Times New Roman"/>
        </w:rPr>
        <w:t xml:space="preserve">for example, </w:t>
      </w:r>
      <w:r w:rsidR="00995967" w:rsidRPr="00995967">
        <w:rPr>
          <w:rFonts w:ascii="Times New Roman" w:hAnsi="Times New Roman"/>
        </w:rPr>
        <w:t xml:space="preserve">$40 or $50. </w:t>
      </w:r>
      <w:r>
        <w:rPr>
          <w:rFonts w:ascii="Times New Roman" w:hAnsi="Times New Roman"/>
        </w:rPr>
        <w:t xml:space="preserve">In contrast, </w:t>
      </w:r>
      <w:r w:rsidR="00995967" w:rsidRPr="00995967">
        <w:rPr>
          <w:rFonts w:ascii="Times New Roman" w:hAnsi="Times New Roman"/>
        </w:rPr>
        <w:t>orally-administered treatments are</w:t>
      </w:r>
      <w:r>
        <w:rPr>
          <w:rFonts w:ascii="Times New Roman" w:hAnsi="Times New Roman"/>
        </w:rPr>
        <w:t xml:space="preserve"> in most cases </w:t>
      </w:r>
      <w:r w:rsidR="00995967" w:rsidRPr="00995967">
        <w:rPr>
          <w:rFonts w:ascii="Times New Roman" w:hAnsi="Times New Roman"/>
        </w:rPr>
        <w:t xml:space="preserve">covered under </w:t>
      </w:r>
      <w:r>
        <w:rPr>
          <w:rFonts w:ascii="Times New Roman" w:hAnsi="Times New Roman"/>
        </w:rPr>
        <w:t xml:space="preserve">a plan’s </w:t>
      </w:r>
      <w:r w:rsidR="00995967" w:rsidRPr="00995967">
        <w:rPr>
          <w:rFonts w:ascii="Times New Roman" w:hAnsi="Times New Roman"/>
        </w:rPr>
        <w:t xml:space="preserve">pharmacy benefit, where </w:t>
      </w:r>
      <w:r>
        <w:rPr>
          <w:rFonts w:ascii="Times New Roman" w:hAnsi="Times New Roman"/>
        </w:rPr>
        <w:t xml:space="preserve">many </w:t>
      </w:r>
      <w:r w:rsidR="00995967" w:rsidRPr="00995967">
        <w:rPr>
          <w:rFonts w:ascii="Times New Roman" w:hAnsi="Times New Roman"/>
        </w:rPr>
        <w:t xml:space="preserve">patients are responsible for covering </w:t>
      </w:r>
      <w:r>
        <w:rPr>
          <w:rFonts w:ascii="Times New Roman" w:hAnsi="Times New Roman"/>
        </w:rPr>
        <w:t xml:space="preserve">a percentage of the drug’s cost, sometimes as </w:t>
      </w:r>
      <w:r w:rsidR="00D336CA">
        <w:rPr>
          <w:rFonts w:ascii="Times New Roman" w:hAnsi="Times New Roman"/>
        </w:rPr>
        <w:t>much</w:t>
      </w:r>
      <w:r>
        <w:rPr>
          <w:rFonts w:ascii="Times New Roman" w:hAnsi="Times New Roman"/>
        </w:rPr>
        <w:t xml:space="preserve"> as 40 or 50%. </w:t>
      </w:r>
    </w:p>
    <w:p w:rsidR="00C02FEA" w:rsidRDefault="00C02FEA" w:rsidP="00D336CA">
      <w:pPr>
        <w:rPr>
          <w:rFonts w:ascii="Times New Roman" w:hAnsi="Times New Roman"/>
        </w:rPr>
      </w:pPr>
    </w:p>
    <w:p w:rsidR="00995967" w:rsidRDefault="00C02FEA" w:rsidP="00D336CA">
      <w:pPr>
        <w:rPr>
          <w:rFonts w:ascii="Times New Roman" w:hAnsi="Times New Roman"/>
        </w:rPr>
      </w:pPr>
      <w:r w:rsidRPr="00C22C9E">
        <w:rPr>
          <w:rFonts w:ascii="Times New Roman" w:hAnsi="Times New Roman"/>
          <w:color w:val="000000"/>
        </w:rPr>
        <w:t xml:space="preserve">For example, </w:t>
      </w:r>
      <w:proofErr w:type="spellStart"/>
      <w:r>
        <w:rPr>
          <w:rFonts w:ascii="Times New Roman" w:hAnsi="Times New Roman"/>
          <w:color w:val="000000"/>
        </w:rPr>
        <w:t>i</w:t>
      </w:r>
      <w:r w:rsidRPr="00C22C9E">
        <w:rPr>
          <w:rFonts w:ascii="Times New Roman" w:hAnsi="Times New Roman"/>
          <w:color w:val="000000"/>
        </w:rPr>
        <w:t>matinib</w:t>
      </w:r>
      <w:proofErr w:type="spellEnd"/>
      <w:r w:rsidRPr="00C22C9E">
        <w:rPr>
          <w:rFonts w:ascii="Times New Roman" w:hAnsi="Times New Roman"/>
          <w:color w:val="000000"/>
        </w:rPr>
        <w:t xml:space="preserve">, an oral treatment for </w:t>
      </w:r>
      <w:r>
        <w:rPr>
          <w:rFonts w:ascii="Times New Roman" w:hAnsi="Times New Roman"/>
          <w:color w:val="000000"/>
        </w:rPr>
        <w:t>c</w:t>
      </w:r>
      <w:r w:rsidRPr="00C22C9E">
        <w:rPr>
          <w:rFonts w:ascii="Times New Roman" w:hAnsi="Times New Roman"/>
          <w:color w:val="000000"/>
        </w:rPr>
        <w:t xml:space="preserve">hronic </w:t>
      </w:r>
      <w:r>
        <w:rPr>
          <w:rFonts w:ascii="Times New Roman" w:hAnsi="Times New Roman"/>
          <w:color w:val="000000"/>
        </w:rPr>
        <w:t>m</w:t>
      </w:r>
      <w:r w:rsidRPr="00C22C9E">
        <w:rPr>
          <w:rFonts w:ascii="Times New Roman" w:hAnsi="Times New Roman"/>
          <w:color w:val="000000"/>
        </w:rPr>
        <w:t xml:space="preserve">yeloid </w:t>
      </w:r>
      <w:r>
        <w:rPr>
          <w:rFonts w:ascii="Times New Roman" w:hAnsi="Times New Roman"/>
          <w:color w:val="000000"/>
        </w:rPr>
        <w:t>l</w:t>
      </w:r>
      <w:r w:rsidRPr="00C22C9E">
        <w:rPr>
          <w:rFonts w:ascii="Times New Roman" w:hAnsi="Times New Roman"/>
          <w:color w:val="000000"/>
        </w:rPr>
        <w:t>eukemia (CML), carries a retai</w:t>
      </w:r>
      <w:r>
        <w:rPr>
          <w:rFonts w:ascii="Times New Roman" w:hAnsi="Times New Roman"/>
          <w:color w:val="000000"/>
        </w:rPr>
        <w:t xml:space="preserve">l price </w:t>
      </w:r>
      <w:r w:rsidR="007D30A7">
        <w:rPr>
          <w:rFonts w:ascii="Times New Roman" w:hAnsi="Times New Roman"/>
          <w:color w:val="000000"/>
        </w:rPr>
        <w:t xml:space="preserve">in the </w:t>
      </w:r>
      <w:r w:rsidRPr="00C22C9E">
        <w:rPr>
          <w:rFonts w:ascii="Times New Roman" w:hAnsi="Times New Roman"/>
          <w:color w:val="000000"/>
        </w:rPr>
        <w:t>$6,000 to $7,500 range</w:t>
      </w:r>
      <w:r w:rsidR="007D30A7" w:rsidRPr="007D30A7">
        <w:rPr>
          <w:rFonts w:ascii="Times New Roman" w:hAnsi="Times New Roman"/>
          <w:color w:val="000000"/>
        </w:rPr>
        <w:t xml:space="preserve"> </w:t>
      </w:r>
      <w:r w:rsidR="007D30A7">
        <w:rPr>
          <w:rFonts w:ascii="Times New Roman" w:hAnsi="Times New Roman"/>
          <w:color w:val="000000"/>
        </w:rPr>
        <w:t xml:space="preserve">for an average monthly </w:t>
      </w:r>
      <w:r w:rsidR="007D30A7" w:rsidRPr="00C22C9E">
        <w:rPr>
          <w:rFonts w:ascii="Times New Roman" w:hAnsi="Times New Roman"/>
          <w:color w:val="000000"/>
        </w:rPr>
        <w:t>supply</w:t>
      </w:r>
      <w:r w:rsidRPr="00C22C9E">
        <w:rPr>
          <w:rFonts w:ascii="Times New Roman" w:hAnsi="Times New Roman"/>
          <w:color w:val="000000"/>
        </w:rPr>
        <w:t>. Many CML patients are dependent upon this oral therapy to keep them alive</w:t>
      </w:r>
      <w:r w:rsidR="00D336CA">
        <w:rPr>
          <w:rFonts w:ascii="Times New Roman" w:hAnsi="Times New Roman"/>
          <w:color w:val="000000"/>
        </w:rPr>
        <w:t xml:space="preserve"> – and will, in many cases, need to take this medication for the rest of their lives – yet </w:t>
      </w:r>
      <w:r w:rsidRPr="00C22C9E"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</w:rPr>
        <w:t xml:space="preserve">cost-share of even just </w:t>
      </w:r>
      <w:r w:rsidRPr="00C22C9E">
        <w:rPr>
          <w:rFonts w:ascii="Times New Roman" w:hAnsi="Times New Roman"/>
          <w:color w:val="000000"/>
        </w:rPr>
        <w:t xml:space="preserve">20% </w:t>
      </w:r>
      <w:r w:rsidRPr="00C22C9E">
        <w:rPr>
          <w:rFonts w:ascii="Times New Roman" w:hAnsi="Times New Roman"/>
        </w:rPr>
        <w:t>generates an out-of-pocket expense of at least $1,200 per month.</w:t>
      </w:r>
      <w:r w:rsidR="00D336CA">
        <w:rPr>
          <w:rFonts w:ascii="Times New Roman" w:hAnsi="Times New Roman"/>
        </w:rPr>
        <w:t xml:space="preserve"> For most patients and families, a cost-share of this size means treatment will be out of reach.  </w:t>
      </w:r>
      <w:r w:rsidRPr="00C22C9E">
        <w:rPr>
          <w:rFonts w:ascii="Times New Roman" w:hAnsi="Times New Roman"/>
        </w:rPr>
        <w:t xml:space="preserve">  </w:t>
      </w:r>
    </w:p>
    <w:p w:rsidR="00C22C9E" w:rsidRPr="00C22C9E" w:rsidRDefault="00C22C9E" w:rsidP="00D336CA">
      <w:pPr>
        <w:rPr>
          <w:rFonts w:ascii="Times New Roman" w:hAnsi="Times New Roman"/>
        </w:rPr>
      </w:pPr>
    </w:p>
    <w:p w:rsidR="00C22C9E" w:rsidRDefault="00FE78AA" w:rsidP="00D336CA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applaud Chairman Baker for filing HB 60, as this </w:t>
      </w:r>
      <w:r w:rsidR="00C22C9E" w:rsidRPr="00C22C9E">
        <w:rPr>
          <w:rFonts w:ascii="Times New Roman" w:hAnsi="Times New Roman"/>
        </w:rPr>
        <w:t xml:space="preserve">bill </w:t>
      </w:r>
      <w:r>
        <w:rPr>
          <w:rFonts w:ascii="Times New Roman" w:hAnsi="Times New Roman"/>
        </w:rPr>
        <w:t>would eliminate the discrepancy cause</w:t>
      </w:r>
      <w:r w:rsidR="00D336CA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 </w:t>
      </w:r>
      <w:r w:rsidR="00C22C9E" w:rsidRPr="00C22C9E">
        <w:rPr>
          <w:rFonts w:ascii="Times New Roman" w:hAnsi="Times New Roman"/>
        </w:rPr>
        <w:t xml:space="preserve">by </w:t>
      </w:r>
      <w:r>
        <w:rPr>
          <w:rFonts w:ascii="Times New Roman" w:hAnsi="Times New Roman"/>
        </w:rPr>
        <w:t>this outdated benefit design. His bill proposes a simple and straightforward solution</w:t>
      </w:r>
      <w:r w:rsidR="007D30A7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 </w:t>
      </w:r>
      <w:r w:rsidR="007D30A7">
        <w:rPr>
          <w:rFonts w:ascii="Times New Roman" w:hAnsi="Times New Roman"/>
        </w:rPr>
        <w:t>if a health plan</w:t>
      </w:r>
      <w:r>
        <w:rPr>
          <w:rFonts w:ascii="Times New Roman" w:hAnsi="Times New Roman"/>
        </w:rPr>
        <w:t xml:space="preserve"> </w:t>
      </w:r>
      <w:r w:rsidR="007D30A7">
        <w:rPr>
          <w:rFonts w:ascii="Times New Roman" w:hAnsi="Times New Roman"/>
        </w:rPr>
        <w:t>offers</w:t>
      </w:r>
      <w:r>
        <w:rPr>
          <w:rFonts w:ascii="Times New Roman" w:hAnsi="Times New Roman"/>
        </w:rPr>
        <w:t xml:space="preserve"> coverage for cancer treatment, the</w:t>
      </w:r>
      <w:r w:rsidR="007D30A7">
        <w:rPr>
          <w:rFonts w:ascii="Times New Roman" w:hAnsi="Times New Roman"/>
        </w:rPr>
        <w:t>n that plan must apply the same</w:t>
      </w:r>
      <w:r w:rsidR="00C22C9E" w:rsidRPr="00C22C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cost-sharing </w:t>
      </w:r>
      <w:r w:rsidR="007D30A7">
        <w:rPr>
          <w:rFonts w:ascii="Times New Roman" w:hAnsi="Times New Roman"/>
        </w:rPr>
        <w:t xml:space="preserve">requirements to all medicines used to treat cancer, whether those come in the form of a pill, through </w:t>
      </w:r>
      <w:r w:rsidR="00D336CA">
        <w:rPr>
          <w:rFonts w:ascii="Times New Roman" w:hAnsi="Times New Roman"/>
        </w:rPr>
        <w:t>IV/</w:t>
      </w:r>
      <w:r w:rsidR="007D30A7">
        <w:rPr>
          <w:rFonts w:ascii="Times New Roman" w:hAnsi="Times New Roman"/>
        </w:rPr>
        <w:t xml:space="preserve"> injection, or some other administration format. This solution has already been implemented in 34 states around the country, plus the </w:t>
      </w:r>
      <w:r w:rsidR="00C22C9E" w:rsidRPr="00C22C9E">
        <w:rPr>
          <w:rFonts w:ascii="Times New Roman" w:hAnsi="Times New Roman"/>
        </w:rPr>
        <w:t>District of Columbia</w:t>
      </w:r>
      <w:r w:rsidR="007D30A7">
        <w:rPr>
          <w:rFonts w:ascii="Times New Roman" w:hAnsi="Times New Roman"/>
        </w:rPr>
        <w:t>.</w:t>
      </w:r>
      <w:r w:rsidR="00C22C9E" w:rsidRPr="00C22C9E">
        <w:rPr>
          <w:rFonts w:ascii="Times New Roman" w:hAnsi="Times New Roman"/>
        </w:rPr>
        <w:t xml:space="preserve"> </w:t>
      </w:r>
    </w:p>
    <w:p w:rsidR="007D30A7" w:rsidRPr="00C22C9E" w:rsidRDefault="007D30A7" w:rsidP="00D336CA">
      <w:pPr>
        <w:autoSpaceDE w:val="0"/>
        <w:autoSpaceDN w:val="0"/>
        <w:adjustRightInd w:val="0"/>
        <w:rPr>
          <w:rFonts w:ascii="Times New Roman" w:hAnsi="Times New Roman"/>
        </w:rPr>
      </w:pPr>
    </w:p>
    <w:p w:rsidR="00C22C9E" w:rsidRPr="00C22C9E" w:rsidRDefault="007D30A7" w:rsidP="00D336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With your support, this legislation </w:t>
      </w:r>
      <w:r w:rsidR="00D336CA">
        <w:rPr>
          <w:rFonts w:ascii="Times New Roman" w:hAnsi="Times New Roman"/>
        </w:rPr>
        <w:t>will</w:t>
      </w:r>
      <w:r>
        <w:rPr>
          <w:rFonts w:ascii="Times New Roman" w:hAnsi="Times New Roman"/>
        </w:rPr>
        <w:t xml:space="preserve"> </w:t>
      </w:r>
      <w:r w:rsidR="00D336CA">
        <w:rPr>
          <w:rFonts w:ascii="Times New Roman" w:hAnsi="Times New Roman"/>
        </w:rPr>
        <w:t xml:space="preserve">ensure that cancer </w:t>
      </w:r>
      <w:r w:rsidR="00C22C9E" w:rsidRPr="00C22C9E">
        <w:rPr>
          <w:rFonts w:ascii="Times New Roman" w:hAnsi="Times New Roman"/>
        </w:rPr>
        <w:t xml:space="preserve">patients and their </w:t>
      </w:r>
      <w:r>
        <w:rPr>
          <w:rFonts w:ascii="Times New Roman" w:hAnsi="Times New Roman"/>
        </w:rPr>
        <w:t xml:space="preserve">physicians are able to select the most </w:t>
      </w:r>
      <w:r w:rsidR="00C22C9E" w:rsidRPr="00C22C9E">
        <w:rPr>
          <w:rFonts w:ascii="Times New Roman" w:hAnsi="Times New Roman"/>
        </w:rPr>
        <w:t>clinically appropriate treatment</w:t>
      </w:r>
      <w:r>
        <w:rPr>
          <w:rFonts w:ascii="Times New Roman" w:hAnsi="Times New Roman"/>
        </w:rPr>
        <w:t xml:space="preserve"> available</w:t>
      </w:r>
      <w:r w:rsidR="00D336CA">
        <w:rPr>
          <w:rFonts w:ascii="Times New Roman" w:hAnsi="Times New Roman"/>
        </w:rPr>
        <w:t xml:space="preserve"> to them. This protection is badly needed in Pennsylvania and so, again, we urge your support and thank you for your consideration.    </w:t>
      </w:r>
    </w:p>
    <w:p w:rsidR="00D336CA" w:rsidRDefault="00D336CA" w:rsidP="00D336CA">
      <w:pPr>
        <w:rPr>
          <w:rFonts w:ascii="Times New Roman" w:hAnsi="Times New Roman"/>
        </w:rPr>
      </w:pPr>
    </w:p>
    <w:p w:rsidR="00763165" w:rsidRDefault="00D336CA" w:rsidP="00D336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Sincerely, </w:t>
      </w:r>
    </w:p>
    <w:p w:rsidR="00014D5E" w:rsidRDefault="00014D5E" w:rsidP="00D336CA">
      <w:pPr>
        <w:rPr>
          <w:rFonts w:ascii="Times New Roman" w:hAnsi="Times New Roman"/>
        </w:rPr>
      </w:pPr>
    </w:p>
    <w:p w:rsidR="00014D5E" w:rsidRDefault="00014D5E" w:rsidP="00D336CA">
      <w:pPr>
        <w:rPr>
          <w:rFonts w:ascii="Times New Roman" w:hAnsi="Times New Roman"/>
        </w:rPr>
      </w:pPr>
      <w:r>
        <w:rPr>
          <w:rFonts w:ascii="Times New Roman" w:hAnsi="Times New Roman"/>
        </w:rPr>
        <w:t>Marialanna Lee</w:t>
      </w:r>
    </w:p>
    <w:p w:rsidR="00014D5E" w:rsidRDefault="00014D5E" w:rsidP="00D336CA">
      <w:pPr>
        <w:rPr>
          <w:rFonts w:ascii="Times New Roman" w:hAnsi="Times New Roman"/>
        </w:rPr>
      </w:pPr>
      <w:r>
        <w:rPr>
          <w:rFonts w:ascii="Times New Roman" w:hAnsi="Times New Roman"/>
        </w:rPr>
        <w:t>Director, State Government Affairs, Northeast &amp; Mid-Atlantic Regions</w:t>
      </w:r>
    </w:p>
    <w:p w:rsidR="00014D5E" w:rsidRPr="00C22C9E" w:rsidRDefault="00014D5E" w:rsidP="00D336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Leukemia &amp; Lymphoma Society </w:t>
      </w:r>
    </w:p>
    <w:sectPr w:rsidR="00014D5E" w:rsidRPr="00C22C9E" w:rsidSect="00D336CA">
      <w:footerReference w:type="default" r:id="rId8"/>
      <w:pgSz w:w="12240" w:h="15840"/>
      <w:pgMar w:top="1260" w:right="1440" w:bottom="1440" w:left="1440" w:header="900" w:footer="8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4B4" w:rsidRDefault="00A324B4" w:rsidP="00C22C9E">
      <w:r>
        <w:separator/>
      </w:r>
    </w:p>
  </w:endnote>
  <w:endnote w:type="continuationSeparator" w:id="0">
    <w:p w:rsidR="00A324B4" w:rsidRDefault="00A324B4" w:rsidP="00C22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C00" w:rsidRDefault="00602986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.4pt;margin-top:-11.1pt;width:162pt;height:10.8pt;z-index:251660288;mso-wrap-edited:f" wrapcoords="0 0 21600 0 21600 21600 0 21600 0 0" filled="f" stroked="f">
          <v:fill o:detectmouseclick="t"/>
          <v:textbox style="mso-next-textbox:#_x0000_s1025" inset="0,0,0,0">
            <w:txbxContent>
              <w:p w:rsidR="00A70C00" w:rsidRPr="004D23E6" w:rsidRDefault="00A324B4" w:rsidP="00A70C00">
                <w:pPr>
                  <w:rPr>
                    <w:rFonts w:ascii="Arial" w:hAnsi="Arial"/>
                    <w:color w:val="404040"/>
                    <w:spacing w:val="5"/>
                    <w:sz w:val="16"/>
                  </w:rPr>
                </w:pPr>
              </w:p>
              <w:p w:rsidR="00A70C00" w:rsidRPr="009A107E" w:rsidRDefault="00A324B4" w:rsidP="00A70C00"/>
            </w:txbxContent>
          </v:textbox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4B4" w:rsidRDefault="00A324B4" w:rsidP="00C22C9E">
      <w:r>
        <w:separator/>
      </w:r>
    </w:p>
  </w:footnote>
  <w:footnote w:type="continuationSeparator" w:id="0">
    <w:p w:rsidR="00A324B4" w:rsidRDefault="00A324B4" w:rsidP="00C22C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A4391"/>
    <w:multiLevelType w:val="hybridMultilevel"/>
    <w:tmpl w:val="B2DE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22C9E"/>
    <w:rsid w:val="00014D5E"/>
    <w:rsid w:val="004245B7"/>
    <w:rsid w:val="004339F3"/>
    <w:rsid w:val="00602986"/>
    <w:rsid w:val="006D15D7"/>
    <w:rsid w:val="0074189C"/>
    <w:rsid w:val="007D30A7"/>
    <w:rsid w:val="0096795F"/>
    <w:rsid w:val="00995967"/>
    <w:rsid w:val="009F7CA3"/>
    <w:rsid w:val="00A12818"/>
    <w:rsid w:val="00A324B4"/>
    <w:rsid w:val="00B048A8"/>
    <w:rsid w:val="00B653CE"/>
    <w:rsid w:val="00C02FEA"/>
    <w:rsid w:val="00C22C9E"/>
    <w:rsid w:val="00D336CA"/>
    <w:rsid w:val="00E67441"/>
    <w:rsid w:val="00FE193D"/>
    <w:rsid w:val="00FE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C9E"/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22C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2C9E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22C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2C9E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C9E"/>
    <w:rPr>
      <w:rFonts w:ascii="Tahoma" w:eastAsia="Cambri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5967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596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596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959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Leukemia &amp; Lymphoma Society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Marialanna Lee</dc:creator>
  <cp:lastModifiedBy>Marialanna Lee</cp:lastModifiedBy>
  <cp:revision>2</cp:revision>
  <dcterms:created xsi:type="dcterms:W3CDTF">2015-05-01T19:47:00Z</dcterms:created>
  <dcterms:modified xsi:type="dcterms:W3CDTF">2015-05-01T19:47:00Z</dcterms:modified>
</cp:coreProperties>
</file>